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3FD8" w:rsidRDefault="00133FD8" w:rsidP="00133FD8">
      <w:pPr>
        <w:tabs>
          <w:tab w:val="num" w:pos="284"/>
        </w:tabs>
        <w:spacing w:after="0" w:line="240" w:lineRule="auto"/>
        <w:ind w:left="284"/>
        <w:rPr>
          <w:rFonts w:ascii="Times New Roman" w:eastAsia="Times New Roman" w:hAnsi="Times New Roman" w:cs="Times New Roman"/>
          <w:b/>
          <w:sz w:val="24"/>
          <w:szCs w:val="24"/>
          <w:lang w:val="en-GB" w:eastAsia="en-GB"/>
        </w:rPr>
      </w:pPr>
      <w:bookmarkStart w:id="0" w:name="seaweedreport"/>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0"/>
        <w:gridCol w:w="3336"/>
        <w:gridCol w:w="2732"/>
      </w:tblGrid>
      <w:tr w:rsidR="00EB2DDD" w:rsidTr="00EB2DDD">
        <w:tc>
          <w:tcPr>
            <w:tcW w:w="3080" w:type="dxa"/>
          </w:tcPr>
          <w:p w:rsidR="00EB2DDD" w:rsidRDefault="00EB2DDD" w:rsidP="00EB2DDD">
            <w:pPr>
              <w:tabs>
                <w:tab w:val="num" w:pos="284"/>
              </w:tabs>
              <w:jc w:val="center"/>
              <w:rPr>
                <w:rFonts w:ascii="Times New Roman" w:eastAsia="Times New Roman" w:hAnsi="Times New Roman" w:cs="Times New Roman"/>
                <w:b/>
                <w:sz w:val="24"/>
                <w:szCs w:val="24"/>
                <w:lang w:val="en-GB" w:eastAsia="en-GB"/>
              </w:rPr>
            </w:pPr>
            <w:r>
              <w:rPr>
                <w:rFonts w:ascii="Times New Roman" w:eastAsia="Times New Roman" w:hAnsi="Times New Roman" w:cs="Times New Roman"/>
                <w:b/>
                <w:noProof/>
                <w:sz w:val="24"/>
                <w:szCs w:val="24"/>
                <w:lang w:val="en-GB" w:eastAsia="en-GB"/>
              </w:rPr>
              <w:drawing>
                <wp:inline distT="0" distB="0" distL="0" distR="0" wp14:anchorId="762F6B1C" wp14:editId="142D1473">
                  <wp:extent cx="1547937" cy="1119188"/>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48240" cy="1119407"/>
                          </a:xfrm>
                          <a:prstGeom prst="rect">
                            <a:avLst/>
                          </a:prstGeom>
                        </pic:spPr>
                      </pic:pic>
                    </a:graphicData>
                  </a:graphic>
                </wp:inline>
              </w:drawing>
            </w:r>
          </w:p>
        </w:tc>
        <w:tc>
          <w:tcPr>
            <w:tcW w:w="3081" w:type="dxa"/>
          </w:tcPr>
          <w:p w:rsidR="00EB2DDD" w:rsidRDefault="00EB2DDD" w:rsidP="00EB2DDD">
            <w:pPr>
              <w:tabs>
                <w:tab w:val="num" w:pos="284"/>
              </w:tabs>
              <w:jc w:val="center"/>
              <w:rPr>
                <w:rFonts w:ascii="Times New Roman" w:eastAsia="Times New Roman" w:hAnsi="Times New Roman" w:cs="Times New Roman"/>
                <w:b/>
                <w:sz w:val="24"/>
                <w:szCs w:val="24"/>
                <w:lang w:val="en-GB" w:eastAsia="en-GB"/>
              </w:rPr>
            </w:pPr>
            <w:r>
              <w:rPr>
                <w:rFonts w:ascii="Times New Roman" w:eastAsia="Times New Roman" w:hAnsi="Times New Roman" w:cs="Times New Roman"/>
                <w:b/>
                <w:noProof/>
                <w:sz w:val="24"/>
                <w:szCs w:val="24"/>
                <w:lang w:val="en-GB" w:eastAsia="en-GB"/>
              </w:rPr>
              <w:drawing>
                <wp:inline distT="0" distB="0" distL="0" distR="0" wp14:anchorId="20763C3F" wp14:editId="72F206C3">
                  <wp:extent cx="1981153" cy="1119188"/>
                  <wp:effectExtent l="0" t="0" r="635"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nLIFE Logo_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89726" cy="1124031"/>
                          </a:xfrm>
                          <a:prstGeom prst="rect">
                            <a:avLst/>
                          </a:prstGeom>
                        </pic:spPr>
                      </pic:pic>
                    </a:graphicData>
                  </a:graphic>
                </wp:inline>
              </w:drawing>
            </w:r>
          </w:p>
        </w:tc>
        <w:tc>
          <w:tcPr>
            <w:tcW w:w="3081" w:type="dxa"/>
          </w:tcPr>
          <w:p w:rsidR="00EB2DDD" w:rsidRDefault="00EB2DDD" w:rsidP="00EB2DDD">
            <w:pPr>
              <w:tabs>
                <w:tab w:val="num" w:pos="284"/>
              </w:tabs>
              <w:jc w:val="center"/>
              <w:rPr>
                <w:rFonts w:ascii="Times New Roman" w:eastAsia="Times New Roman" w:hAnsi="Times New Roman" w:cs="Times New Roman"/>
                <w:b/>
                <w:sz w:val="24"/>
                <w:szCs w:val="24"/>
                <w:lang w:val="en-GB" w:eastAsia="en-GB"/>
              </w:rPr>
            </w:pPr>
            <w:r>
              <w:rPr>
                <w:rFonts w:ascii="Times New Roman" w:eastAsia="Times New Roman" w:hAnsi="Times New Roman" w:cs="Times New Roman"/>
                <w:b/>
                <w:noProof/>
                <w:sz w:val="24"/>
                <w:szCs w:val="24"/>
                <w:lang w:val="en-GB" w:eastAsia="en-GB"/>
              </w:rPr>
              <w:drawing>
                <wp:inline distT="0" distB="0" distL="0" distR="0" wp14:anchorId="49FA6ACA" wp14:editId="26DF9C47">
                  <wp:extent cx="1319784" cy="1139952"/>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19784" cy="1139952"/>
                          </a:xfrm>
                          <a:prstGeom prst="rect">
                            <a:avLst/>
                          </a:prstGeom>
                        </pic:spPr>
                      </pic:pic>
                    </a:graphicData>
                  </a:graphic>
                </wp:inline>
              </w:drawing>
            </w:r>
          </w:p>
        </w:tc>
      </w:tr>
    </w:tbl>
    <w:p w:rsidR="00EB2DDD" w:rsidRDefault="00EB2DDD" w:rsidP="00133FD8">
      <w:pPr>
        <w:tabs>
          <w:tab w:val="num" w:pos="284"/>
        </w:tabs>
        <w:spacing w:after="0" w:line="240" w:lineRule="auto"/>
        <w:ind w:left="284"/>
        <w:rPr>
          <w:rFonts w:ascii="Times New Roman" w:eastAsia="Times New Roman" w:hAnsi="Times New Roman" w:cs="Times New Roman"/>
          <w:b/>
          <w:sz w:val="24"/>
          <w:szCs w:val="24"/>
          <w:lang w:val="en-GB" w:eastAsia="en-GB"/>
        </w:rPr>
      </w:pPr>
    </w:p>
    <w:bookmarkEnd w:id="0"/>
    <w:p w:rsidR="001C25CC" w:rsidRPr="001C25CC" w:rsidRDefault="001C25CC" w:rsidP="001C25CC">
      <w:pPr>
        <w:pStyle w:val="Title"/>
      </w:pPr>
      <w:r w:rsidRPr="001C25CC">
        <w:t xml:space="preserve">7.2.8a Report on seaweed trials on Machair </w:t>
      </w:r>
    </w:p>
    <w:p w:rsidR="001C25CC" w:rsidRDefault="001C25CC" w:rsidP="001C25CC">
      <w:pPr>
        <w:pStyle w:val="Title"/>
        <w:rPr>
          <w:rFonts w:eastAsia="Times New Roman"/>
          <w:noProof/>
          <w:lang w:val="en-GB" w:eastAsia="en-GB"/>
        </w:rPr>
      </w:pPr>
    </w:p>
    <w:p w:rsidR="001C25CC" w:rsidRPr="001C25CC" w:rsidRDefault="001C25CC" w:rsidP="001C25CC">
      <w:pPr>
        <w:rPr>
          <w:lang w:val="en-GB" w:eastAsia="en-GB"/>
        </w:rPr>
      </w:pPr>
    </w:p>
    <w:p w:rsidR="001C25CC" w:rsidRDefault="001C25CC">
      <w:pPr>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noProof/>
          <w:color w:val="000000"/>
          <w:sz w:val="24"/>
          <w:szCs w:val="24"/>
          <w:lang w:val="en-GB" w:eastAsia="en-GB"/>
        </w:rPr>
        <w:drawing>
          <wp:inline distT="0" distB="0" distL="0" distR="0" wp14:anchorId="13C32D25" wp14:editId="41A78E1A">
            <wp:extent cx="5418667" cy="406429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30711" cy="4073326"/>
                    </a:xfrm>
                    <a:prstGeom prst="rect">
                      <a:avLst/>
                    </a:prstGeom>
                  </pic:spPr>
                </pic:pic>
              </a:graphicData>
            </a:graphic>
          </wp:inline>
        </w:drawing>
      </w:r>
    </w:p>
    <w:p w:rsidR="001C25CC" w:rsidRDefault="001C25CC">
      <w:pPr>
        <w:rPr>
          <w:rFonts w:ascii="Times New Roman" w:eastAsia="Times New Roman" w:hAnsi="Times New Roman" w:cstheme="minorHAnsi"/>
          <w:b/>
          <w:color w:val="000000"/>
          <w:sz w:val="24"/>
          <w:szCs w:val="24"/>
          <w:lang w:val="en-GB" w:eastAsia="en-GB"/>
        </w:rPr>
      </w:pPr>
    </w:p>
    <w:p w:rsidR="001C25CC" w:rsidRPr="001C25CC" w:rsidRDefault="001C25CC" w:rsidP="001C25CC">
      <w:pPr>
        <w:pStyle w:val="Heading1"/>
        <w:jc w:val="center"/>
        <w:rPr>
          <w:noProof/>
          <w:lang w:eastAsia="en-GB"/>
        </w:rPr>
      </w:pPr>
      <w:bookmarkStart w:id="1" w:name="_Toc3283286"/>
      <w:bookmarkStart w:id="2" w:name="_Toc3283418"/>
      <w:bookmarkStart w:id="3" w:name="_Toc3284603"/>
      <w:r w:rsidRPr="001C25CC">
        <w:rPr>
          <w:noProof/>
          <w:lang w:eastAsia="en-GB"/>
        </w:rPr>
        <w:t>January 2016</w:t>
      </w:r>
      <w:bookmarkEnd w:id="1"/>
      <w:bookmarkEnd w:id="2"/>
      <w:bookmarkEnd w:id="3"/>
    </w:p>
    <w:p w:rsidR="001C25CC" w:rsidRDefault="001C25CC">
      <w:pPr>
        <w:rPr>
          <w:rFonts w:ascii="Times New Roman" w:eastAsia="Times New Roman" w:hAnsi="Times New Roman" w:cstheme="minorHAnsi"/>
          <w:b/>
          <w:color w:val="000000"/>
          <w:sz w:val="24"/>
          <w:szCs w:val="24"/>
          <w:lang w:val="en-GB" w:eastAsia="en-GB"/>
        </w:rPr>
      </w:pPr>
    </w:p>
    <w:p w:rsidR="001C25CC" w:rsidRDefault="001C25CC">
      <w:pPr>
        <w:rPr>
          <w:rFonts w:ascii="Times New Roman" w:eastAsia="Times New Roman" w:hAnsi="Times New Roman" w:cstheme="minorHAnsi"/>
          <w:b/>
          <w:color w:val="000000"/>
          <w:sz w:val="24"/>
          <w:szCs w:val="24"/>
          <w:lang w:val="en-GB" w:eastAsia="en-GB"/>
        </w:rPr>
      </w:pPr>
      <w:r>
        <w:rPr>
          <w:rFonts w:ascii="Times New Roman" w:eastAsia="Times New Roman" w:hAnsi="Times New Roman" w:cstheme="minorHAnsi"/>
          <w:b/>
          <w:color w:val="000000"/>
          <w:sz w:val="24"/>
          <w:szCs w:val="24"/>
          <w:lang w:val="en-GB" w:eastAsia="en-GB"/>
        </w:rPr>
        <w:br w:type="page"/>
      </w:r>
    </w:p>
    <w:tbl>
      <w:tblPr>
        <w:tblW w:w="0" w:type="auto"/>
        <w:tblInd w:w="1440" w:type="dxa"/>
        <w:tblLook w:val="04A0" w:firstRow="1" w:lastRow="0" w:firstColumn="1" w:lastColumn="0" w:noHBand="0" w:noVBand="1"/>
      </w:tblPr>
      <w:tblGrid>
        <w:gridCol w:w="3793"/>
        <w:gridCol w:w="3793"/>
      </w:tblGrid>
      <w:tr w:rsidR="001C25CC" w:rsidRPr="00133FD8" w:rsidTr="001C25CC">
        <w:tc>
          <w:tcPr>
            <w:tcW w:w="3793" w:type="dxa"/>
          </w:tcPr>
          <w:p w:rsidR="001C25CC" w:rsidRPr="00133FD8" w:rsidRDefault="001C25CC" w:rsidP="001C25CC">
            <w:pPr>
              <w:spacing w:after="0" w:line="240" w:lineRule="auto"/>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noProof/>
                <w:color w:val="000000"/>
                <w:sz w:val="24"/>
                <w:szCs w:val="24"/>
                <w:lang w:val="en-GB" w:eastAsia="en-GB"/>
              </w:rPr>
              <w:lastRenderedPageBreak/>
              <w:drawing>
                <wp:inline distT="0" distB="0" distL="0" distR="0" wp14:anchorId="2F193E7A" wp14:editId="767E9A72">
                  <wp:extent cx="2032000" cy="152411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8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8847" cy="1529245"/>
                          </a:xfrm>
                          <a:prstGeom prst="rect">
                            <a:avLst/>
                          </a:prstGeom>
                        </pic:spPr>
                      </pic:pic>
                    </a:graphicData>
                  </a:graphic>
                </wp:inline>
              </w:drawing>
            </w:r>
          </w:p>
        </w:tc>
        <w:tc>
          <w:tcPr>
            <w:tcW w:w="3793" w:type="dxa"/>
          </w:tcPr>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Pr="00133FD8" w:rsidRDefault="001C25CC" w:rsidP="00133FD8">
            <w:pPr>
              <w:spacing w:after="0" w:line="240" w:lineRule="auto"/>
              <w:rPr>
                <w:rFonts w:ascii="Times New Roman" w:eastAsia="Times New Roman" w:hAnsi="Times New Roman" w:cstheme="minorHAnsi"/>
                <w:b/>
                <w:noProof/>
                <w:color w:val="000000"/>
                <w:sz w:val="24"/>
                <w:szCs w:val="24"/>
                <w:lang w:val="en-GB" w:eastAsia="en-GB"/>
              </w:rPr>
            </w:pPr>
            <w:r w:rsidRPr="00133FD8">
              <w:rPr>
                <w:rFonts w:ascii="Times New Roman" w:eastAsia="Times New Roman" w:hAnsi="Times New Roman" w:cstheme="minorHAnsi"/>
                <w:b/>
                <w:color w:val="000000"/>
                <w:sz w:val="24"/>
                <w:szCs w:val="24"/>
                <w:lang w:val="en-GB" w:eastAsia="en-GB"/>
              </w:rPr>
              <w:t>September 2014</w:t>
            </w:r>
          </w:p>
        </w:tc>
      </w:tr>
      <w:tr w:rsidR="001C25CC" w:rsidRPr="00133FD8" w:rsidTr="001C25CC">
        <w:tc>
          <w:tcPr>
            <w:tcW w:w="3793" w:type="dxa"/>
          </w:tcPr>
          <w:p w:rsidR="001C25CC" w:rsidRPr="00133FD8" w:rsidRDefault="001C25CC" w:rsidP="001C25CC">
            <w:pPr>
              <w:spacing w:after="0" w:line="240" w:lineRule="auto"/>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noProof/>
                <w:color w:val="000000"/>
                <w:sz w:val="24"/>
                <w:szCs w:val="24"/>
                <w:lang w:val="en-GB" w:eastAsia="en-GB"/>
              </w:rPr>
              <w:drawing>
                <wp:inline distT="0" distB="0" distL="0" distR="0" wp14:anchorId="23787BAB" wp14:editId="602D1823">
                  <wp:extent cx="2031849" cy="152400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2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30699" cy="1523138"/>
                          </a:xfrm>
                          <a:prstGeom prst="rect">
                            <a:avLst/>
                          </a:prstGeom>
                        </pic:spPr>
                      </pic:pic>
                    </a:graphicData>
                  </a:graphic>
                </wp:inline>
              </w:drawing>
            </w:r>
          </w:p>
        </w:tc>
        <w:tc>
          <w:tcPr>
            <w:tcW w:w="3793" w:type="dxa"/>
          </w:tcPr>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Pr="00133FD8" w:rsidRDefault="001C25CC" w:rsidP="00133FD8">
            <w:pPr>
              <w:spacing w:after="0" w:line="240" w:lineRule="auto"/>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color w:val="000000"/>
                <w:sz w:val="24"/>
                <w:szCs w:val="24"/>
                <w:lang w:val="en-GB" w:eastAsia="en-GB"/>
              </w:rPr>
              <w:t>April 2015</w:t>
            </w:r>
          </w:p>
        </w:tc>
      </w:tr>
      <w:tr w:rsidR="001C25CC" w:rsidRPr="00133FD8" w:rsidTr="001C25CC">
        <w:tc>
          <w:tcPr>
            <w:tcW w:w="3793" w:type="dxa"/>
          </w:tcPr>
          <w:p w:rsidR="001C25CC" w:rsidRPr="00133FD8" w:rsidRDefault="001C25CC" w:rsidP="001C25CC">
            <w:pPr>
              <w:spacing w:after="0" w:line="240" w:lineRule="auto"/>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noProof/>
                <w:color w:val="000000"/>
                <w:sz w:val="24"/>
                <w:szCs w:val="24"/>
                <w:lang w:val="en-GB" w:eastAsia="en-GB"/>
              </w:rPr>
              <w:drawing>
                <wp:inline distT="0" distB="0" distL="0" distR="0" wp14:anchorId="1F1FB427" wp14:editId="1E4EF9FC">
                  <wp:extent cx="2031852" cy="15240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5263" cy="1526559"/>
                          </a:xfrm>
                          <a:prstGeom prst="rect">
                            <a:avLst/>
                          </a:prstGeom>
                        </pic:spPr>
                      </pic:pic>
                    </a:graphicData>
                  </a:graphic>
                </wp:inline>
              </w:drawing>
            </w:r>
          </w:p>
        </w:tc>
        <w:tc>
          <w:tcPr>
            <w:tcW w:w="3793" w:type="dxa"/>
          </w:tcPr>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Pr="00133FD8" w:rsidRDefault="001C25CC" w:rsidP="00133FD8">
            <w:pPr>
              <w:spacing w:after="0" w:line="240" w:lineRule="auto"/>
              <w:rPr>
                <w:rFonts w:ascii="Times New Roman" w:eastAsia="Times New Roman" w:hAnsi="Times New Roman" w:cstheme="minorHAnsi"/>
                <w:b/>
                <w:noProof/>
                <w:color w:val="000000"/>
                <w:sz w:val="24"/>
                <w:szCs w:val="24"/>
                <w:lang w:val="en-GB" w:eastAsia="en-GB"/>
              </w:rPr>
            </w:pPr>
            <w:r w:rsidRPr="00133FD8">
              <w:rPr>
                <w:rFonts w:ascii="Times New Roman" w:eastAsia="Times New Roman" w:hAnsi="Times New Roman" w:cstheme="minorHAnsi"/>
                <w:b/>
                <w:color w:val="000000"/>
                <w:sz w:val="24"/>
                <w:szCs w:val="24"/>
                <w:lang w:val="en-GB" w:eastAsia="en-GB"/>
              </w:rPr>
              <w:t>June 2015</w:t>
            </w:r>
          </w:p>
        </w:tc>
      </w:tr>
      <w:tr w:rsidR="001C25CC" w:rsidRPr="00133FD8" w:rsidTr="001C25CC">
        <w:tc>
          <w:tcPr>
            <w:tcW w:w="3793" w:type="dxa"/>
          </w:tcPr>
          <w:p w:rsidR="001C25CC" w:rsidRPr="00133FD8" w:rsidRDefault="001C25CC" w:rsidP="001C25CC">
            <w:pPr>
              <w:spacing w:after="0" w:line="240" w:lineRule="auto"/>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noProof/>
                <w:color w:val="000000"/>
                <w:sz w:val="24"/>
                <w:szCs w:val="24"/>
                <w:lang w:val="en-GB" w:eastAsia="en-GB"/>
              </w:rPr>
              <w:drawing>
                <wp:inline distT="0" distB="0" distL="0" distR="0" wp14:anchorId="32B30DD9" wp14:editId="1A2714AD">
                  <wp:extent cx="2046899" cy="1535289"/>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42524" cy="1532007"/>
                          </a:xfrm>
                          <a:prstGeom prst="rect">
                            <a:avLst/>
                          </a:prstGeom>
                        </pic:spPr>
                      </pic:pic>
                    </a:graphicData>
                  </a:graphic>
                </wp:inline>
              </w:drawing>
            </w:r>
          </w:p>
        </w:tc>
        <w:tc>
          <w:tcPr>
            <w:tcW w:w="3793" w:type="dxa"/>
          </w:tcPr>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Pr="00133FD8" w:rsidRDefault="001C25CC" w:rsidP="00133FD8">
            <w:pPr>
              <w:spacing w:after="0" w:line="240" w:lineRule="auto"/>
              <w:rPr>
                <w:rFonts w:ascii="Times New Roman" w:eastAsia="Times New Roman" w:hAnsi="Times New Roman" w:cstheme="minorHAnsi"/>
                <w:b/>
                <w:noProof/>
                <w:color w:val="000000"/>
                <w:sz w:val="24"/>
                <w:szCs w:val="24"/>
                <w:lang w:val="en-GB" w:eastAsia="en-GB"/>
              </w:rPr>
            </w:pPr>
            <w:r w:rsidRPr="00133FD8">
              <w:rPr>
                <w:rFonts w:ascii="Times New Roman" w:eastAsia="Times New Roman" w:hAnsi="Times New Roman" w:cstheme="minorHAnsi"/>
                <w:b/>
                <w:color w:val="000000"/>
                <w:sz w:val="24"/>
                <w:szCs w:val="24"/>
                <w:lang w:val="en-GB" w:eastAsia="en-GB"/>
              </w:rPr>
              <w:t>September 2015</w:t>
            </w:r>
          </w:p>
        </w:tc>
      </w:tr>
      <w:tr w:rsidR="001C25CC" w:rsidRPr="00133FD8" w:rsidTr="001C25CC">
        <w:tc>
          <w:tcPr>
            <w:tcW w:w="3793" w:type="dxa"/>
          </w:tcPr>
          <w:p w:rsidR="001C25CC" w:rsidRPr="00133FD8" w:rsidRDefault="001C25CC" w:rsidP="001C25CC">
            <w:pPr>
              <w:spacing w:after="0" w:line="240" w:lineRule="auto"/>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noProof/>
                <w:color w:val="000000"/>
                <w:sz w:val="24"/>
                <w:szCs w:val="24"/>
                <w:lang w:val="en-GB" w:eastAsia="en-GB"/>
              </w:rPr>
              <w:drawing>
                <wp:inline distT="0" distB="0" distL="0" distR="0" wp14:anchorId="3BDCBB0F" wp14:editId="1E00F1BD">
                  <wp:extent cx="2088444" cy="1566446"/>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93086" cy="1569928"/>
                          </a:xfrm>
                          <a:prstGeom prst="rect">
                            <a:avLst/>
                          </a:prstGeom>
                        </pic:spPr>
                      </pic:pic>
                    </a:graphicData>
                  </a:graphic>
                </wp:inline>
              </w:drawing>
            </w:r>
          </w:p>
        </w:tc>
        <w:tc>
          <w:tcPr>
            <w:tcW w:w="3793" w:type="dxa"/>
          </w:tcPr>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Default="001C25CC" w:rsidP="00133FD8">
            <w:pPr>
              <w:spacing w:after="0" w:line="240" w:lineRule="auto"/>
              <w:rPr>
                <w:rFonts w:ascii="Times New Roman" w:eastAsia="Times New Roman" w:hAnsi="Times New Roman" w:cstheme="minorHAnsi"/>
                <w:b/>
                <w:color w:val="000000"/>
                <w:sz w:val="24"/>
                <w:szCs w:val="24"/>
                <w:lang w:val="en-GB" w:eastAsia="en-GB"/>
              </w:rPr>
            </w:pPr>
          </w:p>
          <w:p w:rsidR="001C25CC" w:rsidRPr="00133FD8" w:rsidRDefault="001C25CC" w:rsidP="00133FD8">
            <w:pPr>
              <w:spacing w:after="0" w:line="240" w:lineRule="auto"/>
              <w:rPr>
                <w:rFonts w:ascii="Times New Roman" w:eastAsia="Times New Roman" w:hAnsi="Times New Roman" w:cstheme="minorHAnsi"/>
                <w:b/>
                <w:noProof/>
                <w:color w:val="000000"/>
                <w:sz w:val="24"/>
                <w:szCs w:val="24"/>
                <w:lang w:val="en-GB" w:eastAsia="en-GB"/>
              </w:rPr>
            </w:pPr>
            <w:r w:rsidRPr="00133FD8">
              <w:rPr>
                <w:rFonts w:ascii="Times New Roman" w:eastAsia="Times New Roman" w:hAnsi="Times New Roman" w:cstheme="minorHAnsi"/>
                <w:b/>
                <w:color w:val="000000"/>
                <w:sz w:val="24"/>
                <w:szCs w:val="24"/>
                <w:lang w:val="en-GB" w:eastAsia="en-GB"/>
              </w:rPr>
              <w:t>November 2015</w:t>
            </w:r>
          </w:p>
        </w:tc>
      </w:tr>
    </w:tbl>
    <w:p w:rsidR="00133FD8" w:rsidRPr="00133FD8" w:rsidRDefault="00133FD8" w:rsidP="00133FD8">
      <w:pPr>
        <w:spacing w:after="0" w:line="240" w:lineRule="auto"/>
        <w:rPr>
          <w:rFonts w:ascii="Times New Roman" w:eastAsia="Times New Roman" w:hAnsi="Times New Roman" w:cstheme="minorHAnsi"/>
          <w:b/>
          <w:color w:val="000000"/>
          <w:sz w:val="24"/>
          <w:szCs w:val="24"/>
          <w:lang w:val="en-GB" w:eastAsia="en-GB"/>
        </w:rPr>
      </w:pPr>
    </w:p>
    <w:p w:rsidR="00133FD8" w:rsidRDefault="00133FD8" w:rsidP="00133FD8">
      <w:pPr>
        <w:spacing w:after="0" w:line="240" w:lineRule="auto"/>
        <w:rPr>
          <w:rFonts w:ascii="Times New Roman" w:eastAsia="Times New Roman" w:hAnsi="Times New Roman" w:cstheme="minorHAnsi"/>
          <w:b/>
          <w:color w:val="000000"/>
          <w:sz w:val="24"/>
          <w:szCs w:val="24"/>
          <w:lang w:val="en-GB" w:eastAsia="en-GB"/>
        </w:rPr>
      </w:pPr>
      <w:r w:rsidRPr="00133FD8">
        <w:rPr>
          <w:rFonts w:ascii="Times New Roman" w:eastAsia="Times New Roman" w:hAnsi="Times New Roman" w:cstheme="minorHAnsi"/>
          <w:b/>
          <w:color w:val="000000"/>
          <w:sz w:val="24"/>
          <w:szCs w:val="24"/>
          <w:lang w:val="en-GB" w:eastAsia="en-GB"/>
        </w:rPr>
        <w:br w:type="page"/>
      </w:r>
    </w:p>
    <w:sdt>
      <w:sdtPr>
        <w:rPr>
          <w:rFonts w:asciiTheme="minorHAnsi" w:eastAsiaTheme="minorHAnsi" w:hAnsiTheme="minorHAnsi" w:cstheme="minorBidi"/>
          <w:b w:val="0"/>
          <w:bCs w:val="0"/>
          <w:color w:val="auto"/>
          <w:sz w:val="22"/>
          <w:szCs w:val="22"/>
          <w:lang w:val="en-IE" w:eastAsia="en-US"/>
        </w:rPr>
        <w:id w:val="912134038"/>
        <w:docPartObj>
          <w:docPartGallery w:val="Table of Contents"/>
          <w:docPartUnique/>
        </w:docPartObj>
      </w:sdtPr>
      <w:sdtEndPr>
        <w:rPr>
          <w:noProof/>
        </w:rPr>
      </w:sdtEndPr>
      <w:sdtContent>
        <w:p w:rsidR="005336CA" w:rsidRDefault="005336CA">
          <w:pPr>
            <w:pStyle w:val="TOCHeading"/>
          </w:pPr>
          <w:r>
            <w:t>Contents</w:t>
          </w:r>
        </w:p>
        <w:p w:rsidR="00D81CF9" w:rsidRDefault="005336CA">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bookmarkStart w:id="4" w:name="_GoBack"/>
          <w:bookmarkEnd w:id="4"/>
        </w:p>
        <w:p w:rsidR="00D81CF9" w:rsidRDefault="00D81CF9">
          <w:pPr>
            <w:pStyle w:val="TOC1"/>
            <w:tabs>
              <w:tab w:val="right" w:leader="dot" w:pos="9016"/>
            </w:tabs>
            <w:rPr>
              <w:rFonts w:eastAsiaTheme="minorEastAsia"/>
              <w:noProof/>
              <w:lang w:eastAsia="en-GB"/>
            </w:rPr>
          </w:pPr>
          <w:r w:rsidRPr="006B77DA">
            <w:rPr>
              <w:rStyle w:val="Hyperlink"/>
              <w:noProof/>
            </w:rPr>
            <w:fldChar w:fldCharType="begin"/>
          </w:r>
          <w:r w:rsidRPr="006B77DA">
            <w:rPr>
              <w:rStyle w:val="Hyperlink"/>
              <w:noProof/>
            </w:rPr>
            <w:instrText xml:space="preserve"> </w:instrText>
          </w:r>
          <w:r>
            <w:rPr>
              <w:noProof/>
            </w:rPr>
            <w:instrText>HYPERLINK \l "_Toc3284604"</w:instrText>
          </w:r>
          <w:r w:rsidRPr="006B77DA">
            <w:rPr>
              <w:rStyle w:val="Hyperlink"/>
              <w:noProof/>
            </w:rPr>
            <w:instrText xml:space="preserve"> </w:instrText>
          </w:r>
          <w:r w:rsidRPr="006B77DA">
            <w:rPr>
              <w:rStyle w:val="Hyperlink"/>
              <w:noProof/>
            </w:rPr>
          </w:r>
          <w:r w:rsidRPr="006B77DA">
            <w:rPr>
              <w:rStyle w:val="Hyperlink"/>
              <w:noProof/>
            </w:rPr>
            <w:fldChar w:fldCharType="separate"/>
          </w:r>
          <w:r w:rsidRPr="006B77DA">
            <w:rPr>
              <w:rStyle w:val="Hyperlink"/>
              <w:rFonts w:ascii="Cambria" w:eastAsia="Times New Roman" w:hAnsi="Cambria" w:cstheme="minorHAnsi"/>
              <w:bCs/>
              <w:noProof/>
            </w:rPr>
            <w:t>Summary</w:t>
          </w:r>
          <w:r>
            <w:rPr>
              <w:noProof/>
              <w:webHidden/>
            </w:rPr>
            <w:tab/>
          </w:r>
          <w:r>
            <w:rPr>
              <w:noProof/>
              <w:webHidden/>
            </w:rPr>
            <w:fldChar w:fldCharType="begin"/>
          </w:r>
          <w:r>
            <w:rPr>
              <w:noProof/>
              <w:webHidden/>
            </w:rPr>
            <w:instrText xml:space="preserve"> PAGEREF _Toc3284604 \h </w:instrText>
          </w:r>
          <w:r>
            <w:rPr>
              <w:noProof/>
              <w:webHidden/>
            </w:rPr>
          </w:r>
          <w:r>
            <w:rPr>
              <w:noProof/>
              <w:webHidden/>
            </w:rPr>
            <w:fldChar w:fldCharType="separate"/>
          </w:r>
          <w:r>
            <w:rPr>
              <w:noProof/>
              <w:webHidden/>
            </w:rPr>
            <w:t>4</w:t>
          </w:r>
          <w:r>
            <w:rPr>
              <w:noProof/>
              <w:webHidden/>
            </w:rPr>
            <w:fldChar w:fldCharType="end"/>
          </w:r>
          <w:r w:rsidRPr="006B77DA">
            <w:rPr>
              <w:rStyle w:val="Hyperlink"/>
              <w:noProof/>
            </w:rPr>
            <w:fldChar w:fldCharType="end"/>
          </w:r>
        </w:p>
        <w:p w:rsidR="00D81CF9" w:rsidRDefault="00D81CF9">
          <w:pPr>
            <w:pStyle w:val="TOC1"/>
            <w:tabs>
              <w:tab w:val="right" w:leader="dot" w:pos="9016"/>
            </w:tabs>
            <w:rPr>
              <w:rFonts w:eastAsiaTheme="minorEastAsia"/>
              <w:noProof/>
              <w:lang w:eastAsia="en-GB"/>
            </w:rPr>
          </w:pPr>
          <w:hyperlink w:anchor="_Toc3284605" w:history="1">
            <w:r w:rsidRPr="006B77DA">
              <w:rPr>
                <w:rStyle w:val="Hyperlink"/>
                <w:rFonts w:ascii="Cambria" w:eastAsia="Times New Roman" w:hAnsi="Cambria" w:cstheme="minorHAnsi"/>
                <w:bCs/>
                <w:noProof/>
              </w:rPr>
              <w:t>Background</w:t>
            </w:r>
            <w:r>
              <w:rPr>
                <w:noProof/>
                <w:webHidden/>
              </w:rPr>
              <w:tab/>
            </w:r>
            <w:r>
              <w:rPr>
                <w:noProof/>
                <w:webHidden/>
              </w:rPr>
              <w:fldChar w:fldCharType="begin"/>
            </w:r>
            <w:r>
              <w:rPr>
                <w:noProof/>
                <w:webHidden/>
              </w:rPr>
              <w:instrText xml:space="preserve"> PAGEREF _Toc3284605 \h </w:instrText>
            </w:r>
            <w:r>
              <w:rPr>
                <w:noProof/>
                <w:webHidden/>
              </w:rPr>
            </w:r>
            <w:r>
              <w:rPr>
                <w:noProof/>
                <w:webHidden/>
              </w:rPr>
              <w:fldChar w:fldCharType="separate"/>
            </w:r>
            <w:r>
              <w:rPr>
                <w:noProof/>
                <w:webHidden/>
              </w:rPr>
              <w:t>5</w:t>
            </w:r>
            <w:r>
              <w:rPr>
                <w:noProof/>
                <w:webHidden/>
              </w:rPr>
              <w:fldChar w:fldCharType="end"/>
            </w:r>
          </w:hyperlink>
        </w:p>
        <w:p w:rsidR="00D81CF9" w:rsidRDefault="00D81CF9">
          <w:pPr>
            <w:pStyle w:val="TOC2"/>
            <w:tabs>
              <w:tab w:val="right" w:leader="dot" w:pos="9016"/>
            </w:tabs>
            <w:rPr>
              <w:rFonts w:eastAsiaTheme="minorEastAsia"/>
              <w:noProof/>
              <w:lang w:eastAsia="en-GB"/>
            </w:rPr>
          </w:pPr>
          <w:hyperlink w:anchor="_Toc3284606" w:history="1">
            <w:r w:rsidRPr="006B77DA">
              <w:rPr>
                <w:rStyle w:val="Hyperlink"/>
                <w:rFonts w:ascii="Cambria" w:eastAsia="Times New Roman" w:hAnsi="Cambria" w:cstheme="minorHAnsi"/>
                <w:bCs/>
                <w:i/>
                <w:noProof/>
              </w:rPr>
              <w:t>Vertigo angustior</w:t>
            </w:r>
            <w:r w:rsidRPr="006B77DA">
              <w:rPr>
                <w:rStyle w:val="Hyperlink"/>
                <w:rFonts w:ascii="Cambria" w:eastAsia="Times New Roman" w:hAnsi="Cambria" w:cstheme="minorHAnsi"/>
                <w:bCs/>
                <w:noProof/>
              </w:rPr>
              <w:t xml:space="preserve"> study and Machair</w:t>
            </w:r>
            <w:r>
              <w:rPr>
                <w:noProof/>
                <w:webHidden/>
              </w:rPr>
              <w:tab/>
            </w:r>
            <w:r>
              <w:rPr>
                <w:noProof/>
                <w:webHidden/>
              </w:rPr>
              <w:fldChar w:fldCharType="begin"/>
            </w:r>
            <w:r>
              <w:rPr>
                <w:noProof/>
                <w:webHidden/>
              </w:rPr>
              <w:instrText xml:space="preserve"> PAGEREF _Toc3284606 \h </w:instrText>
            </w:r>
            <w:r>
              <w:rPr>
                <w:noProof/>
                <w:webHidden/>
              </w:rPr>
            </w:r>
            <w:r>
              <w:rPr>
                <w:noProof/>
                <w:webHidden/>
              </w:rPr>
              <w:fldChar w:fldCharType="separate"/>
            </w:r>
            <w:r>
              <w:rPr>
                <w:noProof/>
                <w:webHidden/>
              </w:rPr>
              <w:t>5</w:t>
            </w:r>
            <w:r>
              <w:rPr>
                <w:noProof/>
                <w:webHidden/>
              </w:rPr>
              <w:fldChar w:fldCharType="end"/>
            </w:r>
          </w:hyperlink>
        </w:p>
        <w:p w:rsidR="00D81CF9" w:rsidRDefault="00D81CF9">
          <w:pPr>
            <w:pStyle w:val="TOC2"/>
            <w:tabs>
              <w:tab w:val="right" w:leader="dot" w:pos="9016"/>
            </w:tabs>
            <w:rPr>
              <w:rFonts w:eastAsiaTheme="minorEastAsia"/>
              <w:noProof/>
              <w:lang w:eastAsia="en-GB"/>
            </w:rPr>
          </w:pPr>
          <w:hyperlink w:anchor="_Toc3284607" w:history="1">
            <w:r w:rsidRPr="006B77DA">
              <w:rPr>
                <w:rStyle w:val="Hyperlink"/>
                <w:rFonts w:ascii="Cambria" w:eastAsia="Times New Roman" w:hAnsi="Cambria" w:cstheme="minorHAnsi"/>
                <w:bCs/>
                <w:noProof/>
              </w:rPr>
              <w:t>Location of treatment plots</w:t>
            </w:r>
            <w:r>
              <w:rPr>
                <w:noProof/>
                <w:webHidden/>
              </w:rPr>
              <w:tab/>
            </w:r>
            <w:r>
              <w:rPr>
                <w:noProof/>
                <w:webHidden/>
              </w:rPr>
              <w:fldChar w:fldCharType="begin"/>
            </w:r>
            <w:r>
              <w:rPr>
                <w:noProof/>
                <w:webHidden/>
              </w:rPr>
              <w:instrText xml:space="preserve"> PAGEREF _Toc3284607 \h </w:instrText>
            </w:r>
            <w:r>
              <w:rPr>
                <w:noProof/>
                <w:webHidden/>
              </w:rPr>
            </w:r>
            <w:r>
              <w:rPr>
                <w:noProof/>
                <w:webHidden/>
              </w:rPr>
              <w:fldChar w:fldCharType="separate"/>
            </w:r>
            <w:r>
              <w:rPr>
                <w:noProof/>
                <w:webHidden/>
              </w:rPr>
              <w:t>6</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08" w:history="1">
            <w:r w:rsidRPr="006B77DA">
              <w:rPr>
                <w:rStyle w:val="Hyperlink"/>
                <w:rFonts w:ascii="Cambria" w:eastAsia="Times New Roman" w:hAnsi="Cambria" w:cstheme="minorHAnsi"/>
                <w:bCs/>
                <w:noProof/>
              </w:rPr>
              <w:t>Methodology</w:t>
            </w:r>
            <w:r>
              <w:rPr>
                <w:noProof/>
                <w:webHidden/>
              </w:rPr>
              <w:tab/>
            </w:r>
            <w:r>
              <w:rPr>
                <w:noProof/>
                <w:webHidden/>
              </w:rPr>
              <w:fldChar w:fldCharType="begin"/>
            </w:r>
            <w:r>
              <w:rPr>
                <w:noProof/>
                <w:webHidden/>
              </w:rPr>
              <w:instrText xml:space="preserve"> PAGEREF _Toc3284608 \h </w:instrText>
            </w:r>
            <w:r>
              <w:rPr>
                <w:noProof/>
                <w:webHidden/>
              </w:rPr>
            </w:r>
            <w:r>
              <w:rPr>
                <w:noProof/>
                <w:webHidden/>
              </w:rPr>
              <w:fldChar w:fldCharType="separate"/>
            </w:r>
            <w:r>
              <w:rPr>
                <w:noProof/>
                <w:webHidden/>
              </w:rPr>
              <w:t>6</w:t>
            </w:r>
            <w:r>
              <w:rPr>
                <w:noProof/>
                <w:webHidden/>
              </w:rPr>
              <w:fldChar w:fldCharType="end"/>
            </w:r>
          </w:hyperlink>
        </w:p>
        <w:p w:rsidR="00D81CF9" w:rsidRDefault="00D81CF9">
          <w:pPr>
            <w:pStyle w:val="TOC2"/>
            <w:tabs>
              <w:tab w:val="right" w:leader="dot" w:pos="9016"/>
            </w:tabs>
            <w:rPr>
              <w:rFonts w:eastAsiaTheme="minorEastAsia"/>
              <w:noProof/>
              <w:lang w:eastAsia="en-GB"/>
            </w:rPr>
          </w:pPr>
          <w:hyperlink w:anchor="_Toc3284609" w:history="1">
            <w:r w:rsidRPr="006B77DA">
              <w:rPr>
                <w:rStyle w:val="Hyperlink"/>
                <w:rFonts w:ascii="Cambria" w:eastAsia="Times New Roman" w:hAnsi="Cambria" w:cstheme="minorHAnsi"/>
                <w:bCs/>
                <w:noProof/>
              </w:rPr>
              <w:t>The seaweed study</w:t>
            </w:r>
            <w:r>
              <w:rPr>
                <w:noProof/>
                <w:webHidden/>
              </w:rPr>
              <w:tab/>
            </w:r>
            <w:r>
              <w:rPr>
                <w:noProof/>
                <w:webHidden/>
              </w:rPr>
              <w:fldChar w:fldCharType="begin"/>
            </w:r>
            <w:r>
              <w:rPr>
                <w:noProof/>
                <w:webHidden/>
              </w:rPr>
              <w:instrText xml:space="preserve"> PAGEREF _Toc3284609 \h </w:instrText>
            </w:r>
            <w:r>
              <w:rPr>
                <w:noProof/>
                <w:webHidden/>
              </w:rPr>
            </w:r>
            <w:r>
              <w:rPr>
                <w:noProof/>
                <w:webHidden/>
              </w:rPr>
              <w:fldChar w:fldCharType="separate"/>
            </w:r>
            <w:r>
              <w:rPr>
                <w:noProof/>
                <w:webHidden/>
              </w:rPr>
              <w:t>6</w:t>
            </w:r>
            <w:r>
              <w:rPr>
                <w:noProof/>
                <w:webHidden/>
              </w:rPr>
              <w:fldChar w:fldCharType="end"/>
            </w:r>
          </w:hyperlink>
        </w:p>
        <w:p w:rsidR="00D81CF9" w:rsidRDefault="00D81CF9">
          <w:pPr>
            <w:pStyle w:val="TOC2"/>
            <w:tabs>
              <w:tab w:val="right" w:leader="dot" w:pos="9016"/>
            </w:tabs>
            <w:rPr>
              <w:rFonts w:eastAsiaTheme="minorEastAsia"/>
              <w:noProof/>
              <w:lang w:eastAsia="en-GB"/>
            </w:rPr>
          </w:pPr>
          <w:hyperlink w:anchor="_Toc3284610" w:history="1">
            <w:r w:rsidRPr="006B77DA">
              <w:rPr>
                <w:rStyle w:val="Hyperlink"/>
                <w:rFonts w:ascii="Cambria" w:eastAsia="Times New Roman" w:hAnsi="Cambria" w:cs="Times New Roman"/>
                <w:bCs/>
                <w:noProof/>
              </w:rPr>
              <w:t>Plot descriptions</w:t>
            </w:r>
            <w:r>
              <w:rPr>
                <w:noProof/>
                <w:webHidden/>
              </w:rPr>
              <w:tab/>
            </w:r>
            <w:r>
              <w:rPr>
                <w:noProof/>
                <w:webHidden/>
              </w:rPr>
              <w:fldChar w:fldCharType="begin"/>
            </w:r>
            <w:r>
              <w:rPr>
                <w:noProof/>
                <w:webHidden/>
              </w:rPr>
              <w:instrText xml:space="preserve"> PAGEREF _Toc3284610 \h </w:instrText>
            </w:r>
            <w:r>
              <w:rPr>
                <w:noProof/>
                <w:webHidden/>
              </w:rPr>
            </w:r>
            <w:r>
              <w:rPr>
                <w:noProof/>
                <w:webHidden/>
              </w:rPr>
              <w:fldChar w:fldCharType="separate"/>
            </w:r>
            <w:r>
              <w:rPr>
                <w:noProof/>
                <w:webHidden/>
              </w:rPr>
              <w:t>9</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11" w:history="1">
            <w:r w:rsidRPr="006B77DA">
              <w:rPr>
                <w:rStyle w:val="Hyperlink"/>
                <w:rFonts w:ascii="Cambria" w:eastAsia="Times New Roman" w:hAnsi="Cambria" w:cs="Times New Roman"/>
                <w:bCs/>
                <w:noProof/>
              </w:rPr>
              <w:t>Results</w:t>
            </w:r>
            <w:r>
              <w:rPr>
                <w:noProof/>
                <w:webHidden/>
              </w:rPr>
              <w:tab/>
            </w:r>
            <w:r>
              <w:rPr>
                <w:noProof/>
                <w:webHidden/>
              </w:rPr>
              <w:fldChar w:fldCharType="begin"/>
            </w:r>
            <w:r>
              <w:rPr>
                <w:noProof/>
                <w:webHidden/>
              </w:rPr>
              <w:instrText xml:space="preserve"> PAGEREF _Toc3284611 \h </w:instrText>
            </w:r>
            <w:r>
              <w:rPr>
                <w:noProof/>
                <w:webHidden/>
              </w:rPr>
            </w:r>
            <w:r>
              <w:rPr>
                <w:noProof/>
                <w:webHidden/>
              </w:rPr>
              <w:fldChar w:fldCharType="separate"/>
            </w:r>
            <w:r>
              <w:rPr>
                <w:noProof/>
                <w:webHidden/>
              </w:rPr>
              <w:t>13</w:t>
            </w:r>
            <w:r>
              <w:rPr>
                <w:noProof/>
                <w:webHidden/>
              </w:rPr>
              <w:fldChar w:fldCharType="end"/>
            </w:r>
          </w:hyperlink>
        </w:p>
        <w:p w:rsidR="00D81CF9" w:rsidRDefault="00D81CF9">
          <w:pPr>
            <w:pStyle w:val="TOC2"/>
            <w:tabs>
              <w:tab w:val="right" w:leader="dot" w:pos="9016"/>
            </w:tabs>
            <w:rPr>
              <w:rFonts w:eastAsiaTheme="minorEastAsia"/>
              <w:noProof/>
              <w:lang w:eastAsia="en-GB"/>
            </w:rPr>
          </w:pPr>
          <w:hyperlink w:anchor="_Toc3284612" w:history="1">
            <w:r w:rsidRPr="006B77DA">
              <w:rPr>
                <w:rStyle w:val="Hyperlink"/>
                <w:rFonts w:ascii="Cambria" w:eastAsia="Times New Roman" w:hAnsi="Cambria" w:cs="Times New Roman"/>
                <w:bCs/>
                <w:noProof/>
              </w:rPr>
              <w:t>Vegetation</w:t>
            </w:r>
            <w:r>
              <w:rPr>
                <w:noProof/>
                <w:webHidden/>
              </w:rPr>
              <w:tab/>
            </w:r>
            <w:r>
              <w:rPr>
                <w:noProof/>
                <w:webHidden/>
              </w:rPr>
              <w:fldChar w:fldCharType="begin"/>
            </w:r>
            <w:r>
              <w:rPr>
                <w:noProof/>
                <w:webHidden/>
              </w:rPr>
              <w:instrText xml:space="preserve"> PAGEREF _Toc3284612 \h </w:instrText>
            </w:r>
            <w:r>
              <w:rPr>
                <w:noProof/>
                <w:webHidden/>
              </w:rPr>
            </w:r>
            <w:r>
              <w:rPr>
                <w:noProof/>
                <w:webHidden/>
              </w:rPr>
              <w:fldChar w:fldCharType="separate"/>
            </w:r>
            <w:r>
              <w:rPr>
                <w:noProof/>
                <w:webHidden/>
              </w:rPr>
              <w:t>13</w:t>
            </w:r>
            <w:r>
              <w:rPr>
                <w:noProof/>
                <w:webHidden/>
              </w:rPr>
              <w:fldChar w:fldCharType="end"/>
            </w:r>
          </w:hyperlink>
        </w:p>
        <w:p w:rsidR="00D81CF9" w:rsidRDefault="00D81CF9">
          <w:pPr>
            <w:pStyle w:val="TOC2"/>
            <w:tabs>
              <w:tab w:val="right" w:leader="dot" w:pos="9016"/>
            </w:tabs>
            <w:rPr>
              <w:rFonts w:eastAsiaTheme="minorEastAsia"/>
              <w:noProof/>
              <w:lang w:eastAsia="en-GB"/>
            </w:rPr>
          </w:pPr>
          <w:hyperlink w:anchor="_Toc3284613" w:history="1">
            <w:r w:rsidRPr="006B77DA">
              <w:rPr>
                <w:rStyle w:val="Hyperlink"/>
                <w:rFonts w:ascii="Cambria" w:eastAsia="Times New Roman" w:hAnsi="Cambria" w:cs="Times New Roman"/>
                <w:bCs/>
                <w:noProof/>
              </w:rPr>
              <w:t>Dry matter yields in machair plots</w:t>
            </w:r>
            <w:r>
              <w:rPr>
                <w:noProof/>
                <w:webHidden/>
              </w:rPr>
              <w:tab/>
            </w:r>
            <w:r>
              <w:rPr>
                <w:noProof/>
                <w:webHidden/>
              </w:rPr>
              <w:fldChar w:fldCharType="begin"/>
            </w:r>
            <w:r>
              <w:rPr>
                <w:noProof/>
                <w:webHidden/>
              </w:rPr>
              <w:instrText xml:space="preserve"> PAGEREF _Toc3284613 \h </w:instrText>
            </w:r>
            <w:r>
              <w:rPr>
                <w:noProof/>
                <w:webHidden/>
              </w:rPr>
            </w:r>
            <w:r>
              <w:rPr>
                <w:noProof/>
                <w:webHidden/>
              </w:rPr>
              <w:fldChar w:fldCharType="separate"/>
            </w:r>
            <w:r>
              <w:rPr>
                <w:noProof/>
                <w:webHidden/>
              </w:rPr>
              <w:t>23</w:t>
            </w:r>
            <w:r>
              <w:rPr>
                <w:noProof/>
                <w:webHidden/>
              </w:rPr>
              <w:fldChar w:fldCharType="end"/>
            </w:r>
          </w:hyperlink>
        </w:p>
        <w:p w:rsidR="00D81CF9" w:rsidRDefault="00D81CF9">
          <w:pPr>
            <w:pStyle w:val="TOC2"/>
            <w:tabs>
              <w:tab w:val="right" w:leader="dot" w:pos="9016"/>
            </w:tabs>
            <w:rPr>
              <w:rFonts w:eastAsiaTheme="minorEastAsia"/>
              <w:noProof/>
              <w:lang w:eastAsia="en-GB"/>
            </w:rPr>
          </w:pPr>
          <w:hyperlink w:anchor="_Toc3284614" w:history="1">
            <w:r w:rsidRPr="006B77DA">
              <w:rPr>
                <w:rStyle w:val="Hyperlink"/>
                <w:rFonts w:ascii="Cambria" w:eastAsia="Times New Roman" w:hAnsi="Cambria" w:cs="Times New Roman"/>
                <w:bCs/>
                <w:noProof/>
              </w:rPr>
              <w:t>Soils</w:t>
            </w:r>
            <w:r>
              <w:rPr>
                <w:noProof/>
                <w:webHidden/>
              </w:rPr>
              <w:tab/>
            </w:r>
            <w:r>
              <w:rPr>
                <w:noProof/>
                <w:webHidden/>
              </w:rPr>
              <w:fldChar w:fldCharType="begin"/>
            </w:r>
            <w:r>
              <w:rPr>
                <w:noProof/>
                <w:webHidden/>
              </w:rPr>
              <w:instrText xml:space="preserve"> PAGEREF _Toc3284614 \h </w:instrText>
            </w:r>
            <w:r>
              <w:rPr>
                <w:noProof/>
                <w:webHidden/>
              </w:rPr>
            </w:r>
            <w:r>
              <w:rPr>
                <w:noProof/>
                <w:webHidden/>
              </w:rPr>
              <w:fldChar w:fldCharType="separate"/>
            </w:r>
            <w:r>
              <w:rPr>
                <w:noProof/>
                <w:webHidden/>
              </w:rPr>
              <w:t>24</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15" w:history="1">
            <w:r w:rsidRPr="006B77DA">
              <w:rPr>
                <w:rStyle w:val="Hyperlink"/>
                <w:rFonts w:ascii="Cambria" w:eastAsia="Times New Roman" w:hAnsi="Cambria" w:cs="Times New Roman"/>
                <w:bCs/>
                <w:noProof/>
              </w:rPr>
              <w:t>Conclusions</w:t>
            </w:r>
            <w:r>
              <w:rPr>
                <w:noProof/>
                <w:webHidden/>
              </w:rPr>
              <w:tab/>
            </w:r>
            <w:r>
              <w:rPr>
                <w:noProof/>
                <w:webHidden/>
              </w:rPr>
              <w:fldChar w:fldCharType="begin"/>
            </w:r>
            <w:r>
              <w:rPr>
                <w:noProof/>
                <w:webHidden/>
              </w:rPr>
              <w:instrText xml:space="preserve"> PAGEREF _Toc3284615 \h </w:instrText>
            </w:r>
            <w:r>
              <w:rPr>
                <w:noProof/>
                <w:webHidden/>
              </w:rPr>
            </w:r>
            <w:r>
              <w:rPr>
                <w:noProof/>
                <w:webHidden/>
              </w:rPr>
              <w:fldChar w:fldCharType="separate"/>
            </w:r>
            <w:r>
              <w:rPr>
                <w:noProof/>
                <w:webHidden/>
              </w:rPr>
              <w:t>24</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16" w:history="1">
            <w:r w:rsidRPr="006B77DA">
              <w:rPr>
                <w:rStyle w:val="Hyperlink"/>
                <w:rFonts w:ascii="Cambria" w:eastAsia="Times New Roman" w:hAnsi="Cambria" w:cs="Times New Roman"/>
                <w:bCs/>
                <w:noProof/>
              </w:rPr>
              <w:t>References</w:t>
            </w:r>
            <w:r>
              <w:rPr>
                <w:noProof/>
                <w:webHidden/>
              </w:rPr>
              <w:tab/>
            </w:r>
            <w:r>
              <w:rPr>
                <w:noProof/>
                <w:webHidden/>
              </w:rPr>
              <w:fldChar w:fldCharType="begin"/>
            </w:r>
            <w:r>
              <w:rPr>
                <w:noProof/>
                <w:webHidden/>
              </w:rPr>
              <w:instrText xml:space="preserve"> PAGEREF _Toc3284616 \h </w:instrText>
            </w:r>
            <w:r>
              <w:rPr>
                <w:noProof/>
                <w:webHidden/>
              </w:rPr>
            </w:r>
            <w:r>
              <w:rPr>
                <w:noProof/>
                <w:webHidden/>
              </w:rPr>
              <w:fldChar w:fldCharType="separate"/>
            </w:r>
            <w:r>
              <w:rPr>
                <w:noProof/>
                <w:webHidden/>
              </w:rPr>
              <w:t>26</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17" w:history="1">
            <w:r w:rsidRPr="006B77DA">
              <w:rPr>
                <w:rStyle w:val="Hyperlink"/>
                <w:rFonts w:ascii="Cambria" w:eastAsia="Times New Roman" w:hAnsi="Cambria" w:cs="Times New Roman"/>
                <w:bCs/>
                <w:noProof/>
              </w:rPr>
              <w:t>Appendix 1. Inis Mór Seaweed treatment  plots</w:t>
            </w:r>
            <w:r>
              <w:rPr>
                <w:noProof/>
                <w:webHidden/>
              </w:rPr>
              <w:tab/>
            </w:r>
            <w:r>
              <w:rPr>
                <w:noProof/>
                <w:webHidden/>
              </w:rPr>
              <w:fldChar w:fldCharType="begin"/>
            </w:r>
            <w:r>
              <w:rPr>
                <w:noProof/>
                <w:webHidden/>
              </w:rPr>
              <w:instrText xml:space="preserve"> PAGEREF _Toc3284617 \h </w:instrText>
            </w:r>
            <w:r>
              <w:rPr>
                <w:noProof/>
                <w:webHidden/>
              </w:rPr>
            </w:r>
            <w:r>
              <w:rPr>
                <w:noProof/>
                <w:webHidden/>
              </w:rPr>
              <w:fldChar w:fldCharType="separate"/>
            </w:r>
            <w:r>
              <w:rPr>
                <w:noProof/>
                <w:webHidden/>
              </w:rPr>
              <w:t>27</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18" w:history="1">
            <w:r w:rsidRPr="006B77DA">
              <w:rPr>
                <w:rStyle w:val="Hyperlink"/>
                <w:rFonts w:ascii="Times New Roman" w:hAnsi="Times New Roman"/>
                <w:noProof/>
                <w:lang w:eastAsia="en-GB"/>
              </w:rPr>
              <w:t>Appendix 2: Seaweed Plots Inis Meáin</w:t>
            </w:r>
            <w:r>
              <w:rPr>
                <w:noProof/>
                <w:webHidden/>
              </w:rPr>
              <w:tab/>
            </w:r>
            <w:r>
              <w:rPr>
                <w:noProof/>
                <w:webHidden/>
              </w:rPr>
              <w:fldChar w:fldCharType="begin"/>
            </w:r>
            <w:r>
              <w:rPr>
                <w:noProof/>
                <w:webHidden/>
              </w:rPr>
              <w:instrText xml:space="preserve"> PAGEREF _Toc3284618 \h </w:instrText>
            </w:r>
            <w:r>
              <w:rPr>
                <w:noProof/>
                <w:webHidden/>
              </w:rPr>
            </w:r>
            <w:r>
              <w:rPr>
                <w:noProof/>
                <w:webHidden/>
              </w:rPr>
              <w:fldChar w:fldCharType="separate"/>
            </w:r>
            <w:r>
              <w:rPr>
                <w:noProof/>
                <w:webHidden/>
              </w:rPr>
              <w:t>36</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19" w:history="1">
            <w:r w:rsidRPr="006B77DA">
              <w:rPr>
                <w:rStyle w:val="Hyperlink"/>
                <w:rFonts w:ascii="Cambria" w:eastAsia="Times New Roman" w:hAnsi="Cambria" w:cs="Times New Roman"/>
                <w:bCs/>
                <w:noProof/>
              </w:rPr>
              <w:t>Appendix 3. National Monitoring Methods for assessing *21A0 Machairs</w:t>
            </w:r>
            <w:r>
              <w:rPr>
                <w:noProof/>
                <w:webHidden/>
              </w:rPr>
              <w:tab/>
            </w:r>
            <w:r>
              <w:rPr>
                <w:noProof/>
                <w:webHidden/>
              </w:rPr>
              <w:fldChar w:fldCharType="begin"/>
            </w:r>
            <w:r>
              <w:rPr>
                <w:noProof/>
                <w:webHidden/>
              </w:rPr>
              <w:instrText xml:space="preserve"> PAGEREF _Toc3284619 \h </w:instrText>
            </w:r>
            <w:r>
              <w:rPr>
                <w:noProof/>
                <w:webHidden/>
              </w:rPr>
            </w:r>
            <w:r>
              <w:rPr>
                <w:noProof/>
                <w:webHidden/>
              </w:rPr>
              <w:fldChar w:fldCharType="separate"/>
            </w:r>
            <w:r>
              <w:rPr>
                <w:noProof/>
                <w:webHidden/>
              </w:rPr>
              <w:t>48</w:t>
            </w:r>
            <w:r>
              <w:rPr>
                <w:noProof/>
                <w:webHidden/>
              </w:rPr>
              <w:fldChar w:fldCharType="end"/>
            </w:r>
          </w:hyperlink>
        </w:p>
        <w:p w:rsidR="00D81CF9" w:rsidRDefault="00D81CF9">
          <w:pPr>
            <w:pStyle w:val="TOC1"/>
            <w:tabs>
              <w:tab w:val="right" w:leader="dot" w:pos="9016"/>
            </w:tabs>
            <w:rPr>
              <w:rFonts w:eastAsiaTheme="minorEastAsia"/>
              <w:noProof/>
              <w:lang w:eastAsia="en-GB"/>
            </w:rPr>
          </w:pPr>
          <w:hyperlink w:anchor="_Toc3284620" w:history="1">
            <w:r w:rsidRPr="006B77DA">
              <w:rPr>
                <w:rStyle w:val="Hyperlink"/>
                <w:noProof/>
              </w:rPr>
              <w:t xml:space="preserve">Appendix 4. </w:t>
            </w:r>
            <w:r w:rsidRPr="006B77DA">
              <w:rPr>
                <w:rStyle w:val="Hyperlink"/>
                <w:i/>
                <w:noProof/>
              </w:rPr>
              <w:t>Vertigo angustior</w:t>
            </w:r>
            <w:r w:rsidRPr="006B77DA">
              <w:rPr>
                <w:rStyle w:val="Hyperlink"/>
                <w:noProof/>
              </w:rPr>
              <w:t xml:space="preserve"> survey of seaweed trial plot sites</w:t>
            </w:r>
            <w:r>
              <w:rPr>
                <w:noProof/>
                <w:webHidden/>
              </w:rPr>
              <w:tab/>
            </w:r>
            <w:r>
              <w:rPr>
                <w:noProof/>
                <w:webHidden/>
              </w:rPr>
              <w:fldChar w:fldCharType="begin"/>
            </w:r>
            <w:r>
              <w:rPr>
                <w:noProof/>
                <w:webHidden/>
              </w:rPr>
              <w:instrText xml:space="preserve"> PAGEREF _Toc3284620 \h </w:instrText>
            </w:r>
            <w:r>
              <w:rPr>
                <w:noProof/>
                <w:webHidden/>
              </w:rPr>
            </w:r>
            <w:r>
              <w:rPr>
                <w:noProof/>
                <w:webHidden/>
              </w:rPr>
              <w:fldChar w:fldCharType="separate"/>
            </w:r>
            <w:r>
              <w:rPr>
                <w:noProof/>
                <w:webHidden/>
              </w:rPr>
              <w:t>50</w:t>
            </w:r>
            <w:r>
              <w:rPr>
                <w:noProof/>
                <w:webHidden/>
              </w:rPr>
              <w:fldChar w:fldCharType="end"/>
            </w:r>
          </w:hyperlink>
        </w:p>
        <w:p w:rsidR="005336CA" w:rsidRDefault="005336CA">
          <w:r>
            <w:rPr>
              <w:b/>
              <w:bCs/>
              <w:noProof/>
            </w:rPr>
            <w:fldChar w:fldCharType="end"/>
          </w:r>
        </w:p>
      </w:sdtContent>
    </w:sdt>
    <w:p w:rsidR="005336CA" w:rsidRPr="00133FD8" w:rsidRDefault="005336CA" w:rsidP="00133FD8">
      <w:pPr>
        <w:spacing w:after="0" w:line="240" w:lineRule="auto"/>
        <w:rPr>
          <w:rFonts w:ascii="Times New Roman" w:eastAsia="Times New Roman" w:hAnsi="Times New Roman" w:cstheme="minorHAnsi"/>
          <w:b/>
          <w:color w:val="000000"/>
          <w:sz w:val="24"/>
          <w:szCs w:val="24"/>
          <w:lang w:val="en-GB" w:eastAsia="en-GB"/>
        </w:rPr>
      </w:pPr>
    </w:p>
    <w:p w:rsidR="005336CA" w:rsidRDefault="005336CA">
      <w:pPr>
        <w:rPr>
          <w:rFonts w:ascii="Cambria" w:eastAsia="Times New Roman" w:hAnsi="Cambria" w:cstheme="minorHAnsi"/>
          <w:bCs/>
          <w:color w:val="000000"/>
          <w:sz w:val="28"/>
          <w:szCs w:val="28"/>
          <w:lang w:val="en-GB"/>
        </w:rPr>
      </w:pPr>
      <w:r>
        <w:rPr>
          <w:rFonts w:ascii="Cambria" w:eastAsia="Times New Roman" w:hAnsi="Cambria" w:cstheme="minorHAnsi"/>
          <w:bCs/>
          <w:color w:val="000000"/>
          <w:sz w:val="28"/>
          <w:szCs w:val="28"/>
          <w:lang w:val="en-GB"/>
        </w:rPr>
        <w:br w:type="page"/>
      </w:r>
    </w:p>
    <w:p w:rsidR="00133FD8" w:rsidRPr="00133FD8" w:rsidRDefault="00133FD8" w:rsidP="00133FD8">
      <w:pPr>
        <w:keepNext/>
        <w:keepLines/>
        <w:spacing w:before="480" w:after="0"/>
        <w:outlineLvl w:val="0"/>
        <w:rPr>
          <w:rFonts w:ascii="Cambria" w:eastAsia="Times New Roman" w:hAnsi="Cambria" w:cstheme="minorHAnsi"/>
          <w:bCs/>
          <w:color w:val="000000"/>
          <w:sz w:val="28"/>
          <w:szCs w:val="28"/>
          <w:lang w:val="en-GB"/>
        </w:rPr>
      </w:pPr>
      <w:bookmarkStart w:id="5" w:name="_Toc3284604"/>
      <w:r w:rsidRPr="00133FD8">
        <w:rPr>
          <w:rFonts w:ascii="Cambria" w:eastAsia="Times New Roman" w:hAnsi="Cambria" w:cstheme="minorHAnsi"/>
          <w:bCs/>
          <w:color w:val="000000"/>
          <w:sz w:val="28"/>
          <w:szCs w:val="28"/>
          <w:lang w:val="en-GB"/>
        </w:rPr>
        <w:lastRenderedPageBreak/>
        <w:t>Summary</w:t>
      </w:r>
      <w:bookmarkEnd w:id="5"/>
    </w:p>
    <w:p w:rsidR="00133FD8" w:rsidRPr="00133FD8" w:rsidRDefault="00133FD8" w:rsidP="00133FD8">
      <w:pPr>
        <w:spacing w:after="0" w:line="240" w:lineRule="auto"/>
        <w:jc w:val="both"/>
        <w:rPr>
          <w:rFonts w:ascii="Times New Roman" w:eastAsia="Times New Roman" w:hAnsi="Times New Roman" w:cstheme="minorHAnsi"/>
          <w:color w:val="000000"/>
          <w:sz w:val="24"/>
          <w:szCs w:val="24"/>
          <w:lang w:val="en-GB" w:eastAsia="en-GB"/>
        </w:rPr>
      </w:pPr>
      <w:r w:rsidRPr="00133FD8">
        <w:rPr>
          <w:rFonts w:ascii="Times New Roman" w:eastAsia="Times New Roman" w:hAnsi="Times New Roman" w:cstheme="minorHAnsi"/>
          <w:color w:val="000000"/>
          <w:sz w:val="24"/>
          <w:szCs w:val="24"/>
          <w:lang w:val="en-GB" w:eastAsia="en-GB"/>
        </w:rPr>
        <w:t>In Phase 1 of the seaweed trials, eight seaweed plots were set up in March/April 2015 when seaweed was applied to 20x10m plots. This report documents the results of phase 1.</w:t>
      </w:r>
    </w:p>
    <w:p w:rsidR="00133FD8" w:rsidRPr="00133FD8" w:rsidRDefault="00133FD8" w:rsidP="00133FD8">
      <w:pPr>
        <w:spacing w:after="0" w:line="240" w:lineRule="auto"/>
        <w:jc w:val="both"/>
        <w:rPr>
          <w:rFonts w:ascii="Times New Roman" w:eastAsia="Times New Roman" w:hAnsi="Times New Roman" w:cstheme="minorHAnsi"/>
          <w:color w:val="000000"/>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heme="minorHAnsi"/>
          <w:color w:val="000000"/>
          <w:sz w:val="24"/>
          <w:szCs w:val="24"/>
          <w:lang w:val="en-GB" w:eastAsia="en-GB"/>
        </w:rPr>
      </w:pPr>
      <w:r w:rsidRPr="00133FD8">
        <w:rPr>
          <w:rFonts w:ascii="Times New Roman" w:eastAsia="Times New Roman" w:hAnsi="Times New Roman" w:cstheme="minorHAnsi"/>
          <w:color w:val="000000"/>
          <w:sz w:val="24"/>
          <w:szCs w:val="24"/>
          <w:lang w:val="en-GB" w:eastAsia="en-GB"/>
        </w:rPr>
        <w:t>The 8 plots vary in their habitat quality and structure.</w:t>
      </w:r>
    </w:p>
    <w:p w:rsidR="00133FD8" w:rsidRPr="00133FD8" w:rsidRDefault="00133FD8" w:rsidP="00133FD8">
      <w:pPr>
        <w:spacing w:after="0" w:line="240" w:lineRule="auto"/>
        <w:jc w:val="both"/>
        <w:rPr>
          <w:rFonts w:ascii="Times New Roman" w:eastAsia="Times New Roman" w:hAnsi="Times New Roman" w:cstheme="minorHAnsi"/>
          <w:color w:val="000000"/>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heme="minorHAnsi"/>
          <w:color w:val="000000"/>
          <w:sz w:val="24"/>
          <w:szCs w:val="24"/>
          <w:lang w:val="en-GB" w:eastAsia="en-GB"/>
        </w:rPr>
        <w:t xml:space="preserve">Seaweed was applied by hand </w:t>
      </w:r>
      <w:r w:rsidRPr="00133FD8">
        <w:rPr>
          <w:rFonts w:ascii="Times New Roman" w:eastAsia="Times New Roman" w:hAnsi="Times New Roman" w:cs="Times New Roman"/>
          <w:sz w:val="24"/>
          <w:szCs w:val="24"/>
          <w:lang w:val="en-GB" w:eastAsia="en-GB"/>
        </w:rPr>
        <w:t xml:space="preserve">ensuring even coverage throughout the plot. </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Plots were monitored in July and August 2015, 3 or 4 months after seaweed application.</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From Bray Curtis ordination of the relevé data there is no obvious trends observable in the vegetation data that are particular to seaweed treated and untreated areas at this stage.</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Machair vegetation is highly variable owing to the dynamic nature of the habitat and this is shown in the variation between machair habitat between Inis Mór and Inis Meáin.</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cover of bryophytes appears to be reduced in most of the seaweed treated plots. In particular </w:t>
      </w:r>
      <w:r w:rsidRPr="00133FD8">
        <w:rPr>
          <w:rFonts w:ascii="Times New Roman" w:eastAsia="Times New Roman" w:hAnsi="Times New Roman" w:cs="Times New Roman"/>
          <w:i/>
          <w:sz w:val="24"/>
          <w:szCs w:val="24"/>
          <w:lang w:val="en-GB" w:eastAsia="en-GB"/>
        </w:rPr>
        <w:t>Rhytidiadelphus squarrosus</w:t>
      </w:r>
      <w:r w:rsidRPr="00133FD8">
        <w:rPr>
          <w:rFonts w:ascii="Times New Roman" w:eastAsia="Times New Roman" w:hAnsi="Times New Roman" w:cs="Times New Roman"/>
          <w:sz w:val="24"/>
          <w:szCs w:val="24"/>
          <w:lang w:val="en-GB" w:eastAsia="en-GB"/>
        </w:rPr>
        <w:t xml:space="preserve"> and </w:t>
      </w:r>
      <w:r w:rsidRPr="00133FD8">
        <w:rPr>
          <w:rFonts w:ascii="Times New Roman" w:eastAsia="Times New Roman" w:hAnsi="Times New Roman" w:cs="Times New Roman"/>
          <w:i/>
          <w:sz w:val="24"/>
          <w:szCs w:val="24"/>
          <w:lang w:val="en-GB" w:eastAsia="en-GB"/>
        </w:rPr>
        <w:t>Scleropodium purum</w:t>
      </w:r>
      <w:r w:rsidRPr="00133FD8">
        <w:rPr>
          <w:rFonts w:ascii="Times New Roman" w:eastAsia="Times New Roman" w:hAnsi="Times New Roman" w:cs="Times New Roman"/>
          <w:sz w:val="24"/>
          <w:szCs w:val="24"/>
          <w:lang w:val="en-GB" w:eastAsia="en-GB"/>
        </w:rPr>
        <w:t xml:space="preserve"> are more abundant in the untreated areas.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There is an apparent increase in sedge and grass cover in seaweed treated areas in 50% of the plots </w:t>
      </w:r>
    </w:p>
    <w:p w:rsidR="00133FD8" w:rsidRPr="00133FD8" w:rsidRDefault="00133FD8" w:rsidP="00133FD8">
      <w:pPr>
        <w:spacing w:after="0" w:line="240" w:lineRule="auto"/>
        <w:jc w:val="both"/>
        <w:rPr>
          <w:rFonts w:ascii="Times New Roman" w:eastAsia="Times New Roman" w:hAnsi="Times New Roman" w:cs="Times New Roman"/>
          <w:i/>
          <w:sz w:val="24"/>
          <w:szCs w:val="24"/>
          <w:lang w:val="en-GB" w:eastAsia="en-GB"/>
        </w:rPr>
      </w:pPr>
      <w:r w:rsidRPr="00133FD8">
        <w:rPr>
          <w:rFonts w:ascii="Times New Roman" w:eastAsia="Times New Roman" w:hAnsi="Times New Roman" w:cs="Times New Roman"/>
          <w:sz w:val="24"/>
          <w:szCs w:val="24"/>
          <w:lang w:val="en-GB" w:eastAsia="en-GB"/>
        </w:rPr>
        <w:t xml:space="preserve">There is an apparent decrease in % broadleaf cover in seaweed treated areas in 60% of the plots </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i/>
          <w:sz w:val="24"/>
          <w:szCs w:val="24"/>
          <w:lang w:val="en-GB" w:eastAsia="en-GB"/>
        </w:rPr>
        <w:t>Vertigo angustior</w:t>
      </w:r>
      <w:r w:rsidRPr="00133FD8">
        <w:rPr>
          <w:rFonts w:ascii="Times New Roman" w:eastAsia="Times New Roman" w:hAnsi="Times New Roman" w:cs="Times New Roman"/>
          <w:sz w:val="24"/>
          <w:szCs w:val="24"/>
          <w:lang w:val="en-GB" w:eastAsia="en-GB"/>
        </w:rPr>
        <w:t xml:space="preserve"> is absent from the seaweed trial plot sites (Browne 2016).</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 dry matter yield is greater in 50% of the seaweed plots than in the corresponding untreated areas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machair </w:t>
      </w:r>
      <w:proofErr w:type="gramStart"/>
      <w:r w:rsidRPr="00133FD8">
        <w:rPr>
          <w:rFonts w:ascii="Times New Roman" w:eastAsia="Times New Roman" w:hAnsi="Times New Roman" w:cs="Times New Roman"/>
          <w:sz w:val="24"/>
          <w:szCs w:val="24"/>
          <w:lang w:val="en-GB" w:eastAsia="en-GB"/>
        </w:rPr>
        <w:t>soils  have</w:t>
      </w:r>
      <w:proofErr w:type="gramEnd"/>
      <w:r w:rsidRPr="00133FD8">
        <w:rPr>
          <w:rFonts w:ascii="Times New Roman" w:eastAsia="Times New Roman" w:hAnsi="Times New Roman" w:cs="Times New Roman"/>
          <w:sz w:val="24"/>
          <w:szCs w:val="24"/>
          <w:lang w:val="en-GB" w:eastAsia="en-GB"/>
        </w:rPr>
        <w:t xml:space="preserve"> a high pH,  and are very low in Phosphorous. Low potash is also a feature of these soils as are high magnesium levels.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 application of seaweed increases the water holding capacity of the soil and the organic content of the soil, which facilitates the development of vegetation cover in previously bare areas.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Phase 2 will incorporate further seaweed applications on existing plots, as well as setting up new application plots. The 3 plots at Kilmurvey will also be analysed and monitored in the coming months. Seaweed was applied to these sites in October 2015, following the mollusc survey.</w:t>
      </w:r>
    </w:p>
    <w:p w:rsidR="00133FD8" w:rsidRPr="00133FD8" w:rsidRDefault="00133FD8" w:rsidP="00133FD8">
      <w:pPr>
        <w:spacing w:after="0" w:line="240" w:lineRule="auto"/>
        <w:rPr>
          <w:rFonts w:ascii="Times New Roman" w:eastAsia="Times New Roman" w:hAnsi="Times New Roman" w:cstheme="minorHAnsi"/>
          <w:sz w:val="24"/>
          <w:szCs w:val="24"/>
          <w:lang w:val="en-GB" w:eastAsia="en-GB"/>
        </w:rPr>
      </w:pPr>
    </w:p>
    <w:p w:rsidR="00133FD8" w:rsidRPr="00133FD8" w:rsidRDefault="00133FD8" w:rsidP="00133FD8">
      <w:pPr>
        <w:spacing w:after="0" w:line="240" w:lineRule="auto"/>
        <w:rPr>
          <w:rFonts w:ascii="Times New Roman" w:eastAsia="Times New Roman" w:hAnsi="Times New Roman" w:cstheme="minorHAnsi"/>
          <w:b/>
          <w:color w:val="000000"/>
          <w:sz w:val="24"/>
          <w:szCs w:val="24"/>
          <w:lang w:val="en-GB" w:eastAsia="en-GB"/>
        </w:rPr>
      </w:pPr>
    </w:p>
    <w:p w:rsidR="00133FD8" w:rsidRPr="00133FD8" w:rsidRDefault="00133FD8" w:rsidP="00133FD8">
      <w:pPr>
        <w:spacing w:after="0" w:line="240" w:lineRule="auto"/>
        <w:rPr>
          <w:rFonts w:asciiTheme="majorHAnsi" w:eastAsiaTheme="majorEastAsia" w:hAnsiTheme="majorHAnsi" w:cstheme="minorHAnsi"/>
          <w:bCs/>
          <w:color w:val="000000"/>
          <w:sz w:val="28"/>
          <w:szCs w:val="28"/>
          <w:lang w:eastAsia="en-GB"/>
        </w:rPr>
      </w:pPr>
      <w:r w:rsidRPr="00133FD8">
        <w:rPr>
          <w:rFonts w:ascii="Times New Roman" w:eastAsia="Times New Roman" w:hAnsi="Times New Roman" w:cstheme="minorHAnsi"/>
          <w:b/>
          <w:color w:val="000000"/>
          <w:sz w:val="24"/>
          <w:szCs w:val="24"/>
          <w:lang w:val="en-GB" w:eastAsia="en-GB"/>
        </w:rPr>
        <w:br w:type="page"/>
      </w:r>
    </w:p>
    <w:p w:rsidR="00133FD8" w:rsidRPr="00133FD8" w:rsidRDefault="00133FD8" w:rsidP="00133FD8">
      <w:pPr>
        <w:keepNext/>
        <w:keepLines/>
        <w:spacing w:before="480" w:after="0"/>
        <w:outlineLvl w:val="0"/>
        <w:rPr>
          <w:rFonts w:ascii="Cambria" w:eastAsia="Times New Roman" w:hAnsi="Cambria" w:cstheme="minorHAnsi"/>
          <w:bCs/>
          <w:color w:val="000000"/>
          <w:sz w:val="28"/>
          <w:szCs w:val="28"/>
          <w:lang w:val="en-GB"/>
        </w:rPr>
      </w:pPr>
      <w:bookmarkStart w:id="6" w:name="_Toc3284605"/>
      <w:r w:rsidRPr="00133FD8">
        <w:rPr>
          <w:rFonts w:ascii="Cambria" w:eastAsia="Times New Roman" w:hAnsi="Cambria" w:cstheme="minorHAnsi"/>
          <w:bCs/>
          <w:color w:val="000000"/>
          <w:sz w:val="28"/>
          <w:szCs w:val="28"/>
          <w:lang w:val="en-GB"/>
        </w:rPr>
        <w:lastRenderedPageBreak/>
        <w:t>Background</w:t>
      </w:r>
      <w:bookmarkEnd w:id="6"/>
    </w:p>
    <w:p w:rsidR="00133FD8" w:rsidRPr="00133FD8" w:rsidRDefault="00133FD8" w:rsidP="00133FD8">
      <w:pPr>
        <w:autoSpaceDE w:val="0"/>
        <w:autoSpaceDN w:val="0"/>
        <w:adjustRightInd w:val="0"/>
        <w:spacing w:after="0" w:line="240" w:lineRule="auto"/>
        <w:contextualSpacing/>
        <w:jc w:val="both"/>
        <w:rPr>
          <w:rFonts w:ascii="Times New Roman" w:eastAsia="Times New Roman" w:hAnsi="Times New Roman" w:cstheme="minorHAnsi"/>
          <w:color w:val="000000"/>
          <w:sz w:val="24"/>
          <w:szCs w:val="24"/>
          <w:lang w:val="en-GB" w:eastAsia="en-GB"/>
        </w:rPr>
      </w:pPr>
      <w:r w:rsidRPr="00133FD8">
        <w:rPr>
          <w:rFonts w:ascii="Times New Roman" w:eastAsia="Times New Roman" w:hAnsi="Times New Roman" w:cstheme="minorHAnsi"/>
          <w:color w:val="000000"/>
          <w:sz w:val="24"/>
          <w:szCs w:val="24"/>
          <w:lang w:val="en-GB" w:eastAsia="en-GB"/>
        </w:rPr>
        <w:t xml:space="preserve">Machair is a qualifying Interest of both Inis Mór and Inis Meáin SACs. An ‘unfavourable-inadequate’ conservation status was given to the machair habitat at Eararna (Trá Mór, Inis Mór) by the Coastal monitoring Project (CMP) (Ryle </w:t>
      </w:r>
      <w:r w:rsidRPr="00133FD8">
        <w:rPr>
          <w:rFonts w:ascii="Times New Roman" w:eastAsia="Times New Roman" w:hAnsi="Times New Roman" w:cstheme="minorHAnsi"/>
          <w:i/>
          <w:color w:val="000000"/>
          <w:sz w:val="24"/>
          <w:szCs w:val="24"/>
          <w:lang w:val="en-GB" w:eastAsia="en-GB"/>
        </w:rPr>
        <w:t>et al</w:t>
      </w:r>
      <w:r w:rsidRPr="00133FD8">
        <w:rPr>
          <w:rFonts w:ascii="Times New Roman" w:eastAsia="Times New Roman" w:hAnsi="Times New Roman" w:cstheme="minorHAnsi"/>
          <w:color w:val="000000"/>
          <w:sz w:val="24"/>
          <w:szCs w:val="24"/>
          <w:lang w:val="en-GB" w:eastAsia="en-GB"/>
        </w:rPr>
        <w:t xml:space="preserve">., 2009), owing to overgrazing, impact of rabbits and dominance of mosses and lichens. On Inis Méain the CMP noted that species diversity was low and moss cover was very high throughout the machair. These issues have to be addressed by the AranLIFE project in order to bring 29ha of machair habitat to favourable conservation status. </w:t>
      </w:r>
    </w:p>
    <w:p w:rsidR="00133FD8" w:rsidRPr="00133FD8" w:rsidRDefault="00133FD8" w:rsidP="00133FD8">
      <w:pPr>
        <w:autoSpaceDE w:val="0"/>
        <w:autoSpaceDN w:val="0"/>
        <w:adjustRightInd w:val="0"/>
        <w:spacing w:after="0" w:line="240" w:lineRule="auto"/>
        <w:contextualSpacing/>
        <w:jc w:val="both"/>
        <w:rPr>
          <w:rFonts w:ascii="Times New Roman" w:eastAsia="Times New Roman" w:hAnsi="Times New Roman" w:cs="Times New Roman"/>
          <w:sz w:val="24"/>
          <w:szCs w:val="24"/>
          <w:lang w:val="en-GB" w:eastAsia="en-GB"/>
        </w:rPr>
      </w:pPr>
    </w:p>
    <w:p w:rsidR="00133FD8" w:rsidRPr="00133FD8" w:rsidRDefault="00133FD8" w:rsidP="00133FD8">
      <w:pPr>
        <w:autoSpaceDE w:val="0"/>
        <w:autoSpaceDN w:val="0"/>
        <w:adjustRightInd w:val="0"/>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heme="minorHAnsi"/>
          <w:color w:val="000000"/>
          <w:sz w:val="24"/>
          <w:szCs w:val="24"/>
          <w:lang w:val="en-GB" w:eastAsia="en-GB"/>
        </w:rPr>
        <w:t xml:space="preserve">The AranLIFE project proposes to trial the application of seaweed to machair sites to address issues such as over-dominance of bryophytes and reduction in species-diversity. </w:t>
      </w:r>
      <w:r w:rsidRPr="00133FD8">
        <w:rPr>
          <w:rFonts w:ascii="Times New Roman" w:eastAsia="Times New Roman" w:hAnsi="Times New Roman" w:cs="Times New Roman"/>
          <w:sz w:val="24"/>
          <w:szCs w:val="24"/>
          <w:lang w:val="en-GB" w:eastAsia="en-GB"/>
        </w:rPr>
        <w:t xml:space="preserve"> The sandy soil lands that occur on particular parts of the islands such as the machair are free-draining and so have little capacity to retain nutrients for grass growth. The application of seaweed is </w:t>
      </w:r>
      <w:proofErr w:type="gramStart"/>
      <w:r w:rsidRPr="00133FD8">
        <w:rPr>
          <w:rFonts w:ascii="Times New Roman" w:eastAsia="Times New Roman" w:hAnsi="Times New Roman" w:cs="Times New Roman"/>
          <w:sz w:val="24"/>
          <w:szCs w:val="24"/>
          <w:lang w:val="en-GB" w:eastAsia="en-GB"/>
        </w:rPr>
        <w:t>necessary,</w:t>
      </w:r>
      <w:proofErr w:type="gramEnd"/>
      <w:r w:rsidRPr="00133FD8">
        <w:rPr>
          <w:rFonts w:ascii="Times New Roman" w:eastAsia="Times New Roman" w:hAnsi="Times New Roman" w:cs="Times New Roman"/>
          <w:sz w:val="24"/>
          <w:szCs w:val="24"/>
          <w:lang w:val="en-GB" w:eastAsia="en-GB"/>
        </w:rPr>
        <w:t xml:space="preserve"> both to supply some plant nutrients and improve organic matter of soil, and at the same time improving the water retaining capacity. </w:t>
      </w:r>
    </w:p>
    <w:p w:rsidR="00133FD8" w:rsidRPr="00133FD8" w:rsidRDefault="00133FD8" w:rsidP="00133FD8">
      <w:pPr>
        <w:autoSpaceDE w:val="0"/>
        <w:autoSpaceDN w:val="0"/>
        <w:adjustRightInd w:val="0"/>
        <w:spacing w:after="0" w:line="240" w:lineRule="auto"/>
        <w:contextualSpacing/>
        <w:jc w:val="both"/>
        <w:rPr>
          <w:rFonts w:ascii="Times New Roman" w:eastAsia="Times New Roman" w:hAnsi="Times New Roman" w:cstheme="minorHAnsi"/>
          <w:color w:val="000000"/>
          <w:sz w:val="24"/>
          <w:szCs w:val="24"/>
          <w:lang w:val="en-GB" w:eastAsia="en-GB"/>
        </w:rPr>
      </w:pPr>
    </w:p>
    <w:p w:rsidR="00133FD8" w:rsidRPr="00133FD8" w:rsidRDefault="00133FD8" w:rsidP="00133FD8">
      <w:pPr>
        <w:autoSpaceDE w:val="0"/>
        <w:autoSpaceDN w:val="0"/>
        <w:adjustRightInd w:val="0"/>
        <w:spacing w:after="0" w:line="240" w:lineRule="auto"/>
        <w:contextualSpacing/>
        <w:jc w:val="both"/>
        <w:rPr>
          <w:rFonts w:ascii="Times New Roman" w:eastAsia="Times New Roman" w:hAnsi="Times New Roman" w:cstheme="minorHAnsi"/>
          <w:color w:val="000000"/>
          <w:sz w:val="24"/>
          <w:szCs w:val="24"/>
          <w:lang w:val="en-GB" w:eastAsia="en-GB"/>
        </w:rPr>
      </w:pPr>
      <w:r w:rsidRPr="00133FD8">
        <w:rPr>
          <w:rFonts w:ascii="Times New Roman" w:eastAsia="Times New Roman" w:hAnsi="Times New Roman" w:cs="Times New Roman"/>
          <w:sz w:val="24"/>
          <w:szCs w:val="24"/>
          <w:lang w:val="en-GB" w:eastAsia="en-GB"/>
        </w:rPr>
        <w:t xml:space="preserve">While bryophytes are an important component of machair vegetation, over-dominance of </w:t>
      </w:r>
      <w:r w:rsidRPr="00133FD8">
        <w:rPr>
          <w:rFonts w:ascii="Times New Roman" w:eastAsia="Times New Roman" w:hAnsi="Times New Roman" w:cs="Times New Roman"/>
          <w:i/>
          <w:sz w:val="24"/>
          <w:szCs w:val="24"/>
          <w:lang w:val="en-GB" w:eastAsia="en-GB"/>
        </w:rPr>
        <w:t>Rhytidiadelphus squarrosus</w:t>
      </w:r>
      <w:r w:rsidRPr="00133FD8">
        <w:rPr>
          <w:rFonts w:ascii="Times New Roman" w:eastAsia="Times New Roman" w:hAnsi="Times New Roman" w:cs="Times New Roman"/>
          <w:sz w:val="24"/>
          <w:szCs w:val="24"/>
          <w:lang w:val="en-GB" w:eastAsia="en-GB"/>
        </w:rPr>
        <w:t xml:space="preserve"> in particular may have been the result of long term nutrient loss from the habitat. Moss over-dominance is having a deleterious impact on both the forage available to cattle as well as the species diversity of the habitat. This issue prevails at all the proposed trial sites. The application of seaweed on these habitats was part of the traditional farming system on the islands, according to the farmers who own these lands. </w:t>
      </w:r>
      <w:r w:rsidRPr="00133FD8">
        <w:rPr>
          <w:rFonts w:ascii="Times New Roman" w:eastAsia="Times New Roman" w:hAnsi="Times New Roman" w:cstheme="minorHAnsi"/>
          <w:sz w:val="24"/>
          <w:szCs w:val="24"/>
          <w:lang w:val="en-GB" w:eastAsia="en-GB"/>
        </w:rPr>
        <w:t xml:space="preserve"> </w:t>
      </w:r>
    </w:p>
    <w:p w:rsidR="00133FD8" w:rsidRPr="00133FD8" w:rsidRDefault="00133FD8" w:rsidP="00133FD8">
      <w:pPr>
        <w:autoSpaceDE w:val="0"/>
        <w:autoSpaceDN w:val="0"/>
        <w:adjustRightInd w:val="0"/>
        <w:contextualSpacing/>
        <w:jc w:val="both"/>
        <w:rPr>
          <w:rFonts w:cstheme="minorHAnsi"/>
        </w:rPr>
      </w:pPr>
      <w:r w:rsidRPr="00133FD8">
        <w:rPr>
          <w:rFonts w:cstheme="minorHAnsi"/>
        </w:rPr>
        <w:t>These issues have been discussed with NPWS as part of the AranLIFE project, and the trials are directly connected to improving understanding as to how to best manage the site.</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rPr>
      </w:pPr>
      <w:r w:rsidRPr="00133FD8">
        <w:rPr>
          <w:rFonts w:cstheme="minorHAnsi"/>
        </w:rPr>
        <w:t>This report documents the results of the first year of seaweed treatment on machair sites (phase 1).</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keepNext/>
        <w:keepLines/>
        <w:spacing w:before="200" w:after="0"/>
        <w:outlineLvl w:val="1"/>
        <w:rPr>
          <w:rFonts w:ascii="Cambria" w:eastAsia="Times New Roman" w:hAnsi="Cambria" w:cstheme="minorHAnsi"/>
          <w:bCs/>
          <w:color w:val="4F81BD"/>
          <w:sz w:val="26"/>
          <w:szCs w:val="26"/>
          <w:lang w:val="en-GB"/>
        </w:rPr>
      </w:pPr>
      <w:bookmarkStart w:id="7" w:name="_Toc3284606"/>
      <w:r w:rsidRPr="00133FD8">
        <w:rPr>
          <w:rFonts w:ascii="Cambria" w:eastAsia="Times New Roman" w:hAnsi="Cambria" w:cstheme="minorHAnsi"/>
          <w:bCs/>
          <w:i/>
          <w:color w:val="4F81BD"/>
          <w:sz w:val="26"/>
          <w:szCs w:val="26"/>
          <w:lang w:val="en-GB"/>
        </w:rPr>
        <w:t>Vertigo angustior</w:t>
      </w:r>
      <w:r w:rsidRPr="00133FD8">
        <w:rPr>
          <w:rFonts w:ascii="Cambria" w:eastAsia="Times New Roman" w:hAnsi="Cambria" w:cstheme="minorHAnsi"/>
          <w:bCs/>
          <w:color w:val="4F81BD"/>
          <w:sz w:val="26"/>
          <w:szCs w:val="26"/>
          <w:lang w:val="en-GB"/>
        </w:rPr>
        <w:t xml:space="preserve"> study and Machair</w:t>
      </w:r>
      <w:bookmarkEnd w:id="7"/>
    </w:p>
    <w:p w:rsidR="00133FD8" w:rsidRPr="00133FD8" w:rsidRDefault="00133FD8" w:rsidP="00133FD8">
      <w:pPr>
        <w:autoSpaceDE w:val="0"/>
        <w:autoSpaceDN w:val="0"/>
        <w:adjustRightInd w:val="0"/>
        <w:contextualSpacing/>
        <w:jc w:val="both"/>
        <w:rPr>
          <w:rFonts w:cstheme="minorHAnsi"/>
          <w:color w:val="000000"/>
        </w:rPr>
      </w:pPr>
      <w:r w:rsidRPr="00133FD8">
        <w:rPr>
          <w:rFonts w:cstheme="minorHAnsi"/>
        </w:rPr>
        <w:t xml:space="preserve">The Annex II snail species </w:t>
      </w:r>
      <w:r w:rsidRPr="00133FD8">
        <w:rPr>
          <w:rFonts w:cstheme="minorHAnsi"/>
          <w:i/>
        </w:rPr>
        <w:t>Vertigo angustior</w:t>
      </w:r>
      <w:r w:rsidRPr="00133FD8">
        <w:rPr>
          <w:rFonts w:cstheme="minorHAnsi"/>
        </w:rPr>
        <w:t xml:space="preserve"> is a qualifying interest species of </w:t>
      </w:r>
      <w:r w:rsidRPr="00133FD8">
        <w:rPr>
          <w:rFonts w:cstheme="minorHAnsi"/>
          <w:color w:val="000000"/>
        </w:rPr>
        <w:t xml:space="preserve">Inis Mór SAC (Moorkens &amp; Killeen, 2011). It lives in the decaying grass understorey in machair habitat and is sensitive to drying out, requiring appropriate habitat for a successful long term population (Moorkens &amp; Gaynor, 2003). The improvement of machair habitat conditions should improve the density and spread of this small protected species.  It is important to understand how the application of seaweed would positively or negatively affect </w:t>
      </w:r>
      <w:r w:rsidRPr="00133FD8">
        <w:rPr>
          <w:rFonts w:cstheme="minorHAnsi"/>
          <w:i/>
          <w:color w:val="000000"/>
        </w:rPr>
        <w:t>V. angustior</w:t>
      </w:r>
      <w:r w:rsidRPr="00133FD8">
        <w:rPr>
          <w:rFonts w:cstheme="minorHAnsi"/>
          <w:color w:val="000000"/>
        </w:rPr>
        <w:t xml:space="preserve">. To this end we have commissioned a survey of </w:t>
      </w:r>
      <w:r w:rsidRPr="00133FD8">
        <w:rPr>
          <w:rFonts w:cstheme="minorHAnsi"/>
          <w:i/>
          <w:color w:val="000000"/>
        </w:rPr>
        <w:t>Vertigo angustior</w:t>
      </w:r>
      <w:r w:rsidRPr="00133FD8">
        <w:rPr>
          <w:rFonts w:cstheme="minorHAnsi"/>
          <w:color w:val="000000"/>
        </w:rPr>
        <w:t xml:space="preserve"> to accompany the seaweed trials and vegetation survey of Machair on both Inis Mór and Inis Meáin.</w:t>
      </w:r>
    </w:p>
    <w:p w:rsidR="00133FD8" w:rsidRPr="00133FD8" w:rsidRDefault="00133FD8" w:rsidP="00133FD8">
      <w:pPr>
        <w:autoSpaceDE w:val="0"/>
        <w:autoSpaceDN w:val="0"/>
        <w:adjustRightInd w:val="0"/>
        <w:contextualSpacing/>
        <w:jc w:val="both"/>
        <w:rPr>
          <w:rFonts w:cstheme="minorHAnsi"/>
          <w:color w:val="000000"/>
        </w:rPr>
      </w:pPr>
    </w:p>
    <w:p w:rsidR="00133FD8" w:rsidRPr="00133FD8" w:rsidRDefault="00133FD8" w:rsidP="00133FD8">
      <w:pPr>
        <w:autoSpaceDE w:val="0"/>
        <w:autoSpaceDN w:val="0"/>
        <w:adjustRightInd w:val="0"/>
        <w:contextualSpacing/>
        <w:jc w:val="both"/>
        <w:rPr>
          <w:rFonts w:cstheme="minorHAnsi"/>
          <w:color w:val="000000"/>
        </w:rPr>
      </w:pPr>
      <w:r w:rsidRPr="00133FD8">
        <w:rPr>
          <w:rFonts w:cstheme="minorHAnsi"/>
          <w:color w:val="000000"/>
        </w:rPr>
        <w:t xml:space="preserve">This Vertigo survey is being conducted by a research student, Neil Browne under the supervision of Dr Evelyn Moorkens. The objective of the study is to assess the changes to the molluscan fauna before and after the affects of the seaweed application. The methods are designed to assess the distribution of </w:t>
      </w:r>
      <w:r w:rsidRPr="00133FD8">
        <w:rPr>
          <w:rFonts w:cstheme="minorHAnsi"/>
          <w:i/>
          <w:color w:val="000000"/>
        </w:rPr>
        <w:t>V. angustior</w:t>
      </w:r>
      <w:r w:rsidRPr="00133FD8">
        <w:rPr>
          <w:rFonts w:cstheme="minorHAnsi"/>
          <w:color w:val="000000"/>
        </w:rPr>
        <w:t xml:space="preserve"> (via hand sampling along walking transects) and changes to the molluscan composition and abundance, through semi-quantitative sampling comparisons between equivalent seaweed applied and control quadrats at each application site.  The initial results of this research are presented in Appendix 4.</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spacing w:after="0"/>
        <w:contextualSpacing/>
        <w:jc w:val="both"/>
        <w:rPr>
          <w:rFonts w:cstheme="minorHAnsi"/>
        </w:rPr>
      </w:pPr>
    </w:p>
    <w:p w:rsidR="00133FD8" w:rsidRPr="00133FD8" w:rsidRDefault="00133FD8" w:rsidP="00133FD8">
      <w:pPr>
        <w:keepNext/>
        <w:keepLines/>
        <w:spacing w:before="200" w:after="0"/>
        <w:outlineLvl w:val="1"/>
        <w:rPr>
          <w:rFonts w:ascii="Cambria" w:eastAsia="Times New Roman" w:hAnsi="Cambria" w:cstheme="minorHAnsi"/>
          <w:bCs/>
          <w:color w:val="4F81BD"/>
          <w:sz w:val="26"/>
          <w:szCs w:val="26"/>
          <w:lang w:val="en-GB"/>
        </w:rPr>
      </w:pPr>
      <w:bookmarkStart w:id="8" w:name="_Toc3284607"/>
      <w:r w:rsidRPr="00133FD8">
        <w:rPr>
          <w:rFonts w:ascii="Cambria" w:eastAsia="Times New Roman" w:hAnsi="Cambria" w:cstheme="minorHAnsi"/>
          <w:bCs/>
          <w:color w:val="4F81BD"/>
          <w:sz w:val="26"/>
          <w:szCs w:val="26"/>
          <w:lang w:val="en-GB"/>
        </w:rPr>
        <w:lastRenderedPageBreak/>
        <w:t>Location of treatment plots</w:t>
      </w:r>
      <w:bookmarkEnd w:id="8"/>
    </w:p>
    <w:p w:rsidR="00133FD8" w:rsidRPr="00133FD8" w:rsidRDefault="00133FD8" w:rsidP="00133FD8">
      <w:pPr>
        <w:autoSpaceDE w:val="0"/>
        <w:autoSpaceDN w:val="0"/>
        <w:adjustRightInd w:val="0"/>
        <w:spacing w:after="0"/>
        <w:contextualSpacing/>
        <w:jc w:val="both"/>
        <w:rPr>
          <w:rFonts w:cstheme="minorHAnsi"/>
        </w:rPr>
      </w:pPr>
      <w:r w:rsidRPr="00133FD8">
        <w:rPr>
          <w:rFonts w:cstheme="minorHAnsi"/>
        </w:rPr>
        <w:t>Machair sites on Inis Mór (Trá Mór) and Inis Méain have been selected for this action. The initial proposed location of phase 1 are presented on Map 1. This is Phase 1 of the experiment. Phase 2 will include 3 new plots at Kilmurvey, Inis Mór as well as new plots at Inis Meáin. Phase 2 will also include reapplication of seaweed on Phase 1 plots.</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b/>
        </w:rPr>
      </w:pPr>
      <w:proofErr w:type="gramStart"/>
      <w:r w:rsidRPr="00133FD8">
        <w:rPr>
          <w:rFonts w:cstheme="minorHAnsi"/>
          <w:b/>
        </w:rPr>
        <w:t>Table 1.</w:t>
      </w:r>
      <w:proofErr w:type="gramEnd"/>
      <w:r w:rsidRPr="00133FD8">
        <w:rPr>
          <w:rFonts w:cstheme="minorHAnsi"/>
          <w:b/>
        </w:rPr>
        <w:t xml:space="preserve"> Phase 1 seaweed plots on Inis Mór and Inis Meáin.</w:t>
      </w:r>
    </w:p>
    <w:tbl>
      <w:tblPr>
        <w:tblW w:w="0" w:type="auto"/>
        <w:tblInd w:w="720" w:type="dxa"/>
        <w:tblLook w:val="04A0" w:firstRow="1" w:lastRow="0" w:firstColumn="1" w:lastColumn="0" w:noHBand="0" w:noVBand="1"/>
      </w:tblPr>
      <w:tblGrid>
        <w:gridCol w:w="1196"/>
        <w:gridCol w:w="1577"/>
        <w:gridCol w:w="2438"/>
        <w:gridCol w:w="1985"/>
      </w:tblGrid>
      <w:tr w:rsidR="00133FD8" w:rsidRPr="00133FD8" w:rsidTr="001C25CC">
        <w:tc>
          <w:tcPr>
            <w:tcW w:w="1196" w:type="dxa"/>
          </w:tcPr>
          <w:p w:rsidR="00133FD8" w:rsidRPr="00133FD8" w:rsidRDefault="00133FD8" w:rsidP="00133FD8">
            <w:pPr>
              <w:autoSpaceDE w:val="0"/>
              <w:autoSpaceDN w:val="0"/>
              <w:adjustRightInd w:val="0"/>
              <w:contextualSpacing/>
              <w:jc w:val="both"/>
              <w:rPr>
                <w:rFonts w:cstheme="minorHAnsi"/>
                <w:b/>
              </w:rPr>
            </w:pPr>
            <w:r w:rsidRPr="00133FD8">
              <w:rPr>
                <w:rFonts w:cstheme="minorHAnsi"/>
                <w:b/>
              </w:rPr>
              <w:t>Island</w:t>
            </w:r>
          </w:p>
        </w:tc>
        <w:tc>
          <w:tcPr>
            <w:tcW w:w="1577" w:type="dxa"/>
          </w:tcPr>
          <w:p w:rsidR="00133FD8" w:rsidRPr="00133FD8" w:rsidRDefault="00133FD8" w:rsidP="00133FD8">
            <w:pPr>
              <w:autoSpaceDE w:val="0"/>
              <w:autoSpaceDN w:val="0"/>
              <w:adjustRightInd w:val="0"/>
              <w:contextualSpacing/>
              <w:jc w:val="center"/>
              <w:rPr>
                <w:rFonts w:cstheme="minorHAnsi"/>
                <w:b/>
              </w:rPr>
            </w:pPr>
            <w:r w:rsidRPr="00133FD8">
              <w:rPr>
                <w:rFonts w:cstheme="minorHAnsi"/>
                <w:b/>
              </w:rPr>
              <w:t>Townland</w:t>
            </w:r>
          </w:p>
        </w:tc>
        <w:tc>
          <w:tcPr>
            <w:tcW w:w="2438" w:type="dxa"/>
          </w:tcPr>
          <w:p w:rsidR="00133FD8" w:rsidRPr="00133FD8" w:rsidRDefault="00133FD8" w:rsidP="00133FD8">
            <w:pPr>
              <w:autoSpaceDE w:val="0"/>
              <w:autoSpaceDN w:val="0"/>
              <w:adjustRightInd w:val="0"/>
              <w:contextualSpacing/>
              <w:jc w:val="center"/>
              <w:rPr>
                <w:rFonts w:cstheme="minorHAnsi"/>
                <w:b/>
              </w:rPr>
            </w:pPr>
            <w:r w:rsidRPr="00133FD8">
              <w:rPr>
                <w:rFonts w:cstheme="minorHAnsi"/>
                <w:b/>
              </w:rPr>
              <w:t>Ownership</w:t>
            </w:r>
          </w:p>
        </w:tc>
        <w:tc>
          <w:tcPr>
            <w:tcW w:w="1985" w:type="dxa"/>
          </w:tcPr>
          <w:p w:rsidR="00133FD8" w:rsidRPr="00133FD8" w:rsidRDefault="00133FD8" w:rsidP="00133FD8">
            <w:pPr>
              <w:autoSpaceDE w:val="0"/>
              <w:autoSpaceDN w:val="0"/>
              <w:adjustRightInd w:val="0"/>
              <w:contextualSpacing/>
              <w:jc w:val="center"/>
              <w:rPr>
                <w:rFonts w:cstheme="minorHAnsi"/>
                <w:b/>
              </w:rPr>
            </w:pPr>
            <w:r w:rsidRPr="00133FD8">
              <w:rPr>
                <w:rFonts w:cstheme="minorHAnsi"/>
                <w:b/>
              </w:rPr>
              <w:t>No. of 20x10m</w:t>
            </w:r>
            <w:r w:rsidRPr="00133FD8">
              <w:rPr>
                <w:rFonts w:cstheme="minorHAnsi"/>
                <w:b/>
                <w:vertAlign w:val="superscript"/>
              </w:rPr>
              <w:t>2</w:t>
            </w:r>
            <w:r w:rsidRPr="00133FD8">
              <w:rPr>
                <w:rFonts w:cstheme="minorHAnsi"/>
                <w:b/>
              </w:rPr>
              <w:t xml:space="preserve"> seaweed plots</w:t>
            </w:r>
          </w:p>
        </w:tc>
      </w:tr>
      <w:tr w:rsidR="00133FD8" w:rsidRPr="00133FD8" w:rsidTr="001C25CC">
        <w:tc>
          <w:tcPr>
            <w:tcW w:w="1196" w:type="dxa"/>
          </w:tcPr>
          <w:p w:rsidR="00133FD8" w:rsidRPr="00133FD8" w:rsidRDefault="00133FD8" w:rsidP="00133FD8">
            <w:pPr>
              <w:autoSpaceDE w:val="0"/>
              <w:autoSpaceDN w:val="0"/>
              <w:adjustRightInd w:val="0"/>
              <w:contextualSpacing/>
              <w:jc w:val="both"/>
              <w:rPr>
                <w:rFonts w:cstheme="minorHAnsi"/>
                <w:b/>
              </w:rPr>
            </w:pPr>
            <w:r w:rsidRPr="00133FD8">
              <w:rPr>
                <w:rFonts w:cstheme="minorHAnsi"/>
                <w:b/>
              </w:rPr>
              <w:t>Inis Mór</w:t>
            </w:r>
          </w:p>
        </w:tc>
        <w:tc>
          <w:tcPr>
            <w:tcW w:w="1577"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Trá Mór</w:t>
            </w:r>
          </w:p>
          <w:p w:rsidR="00133FD8" w:rsidRPr="00133FD8" w:rsidRDefault="00133FD8" w:rsidP="00133FD8">
            <w:pPr>
              <w:autoSpaceDE w:val="0"/>
              <w:autoSpaceDN w:val="0"/>
              <w:adjustRightInd w:val="0"/>
              <w:contextualSpacing/>
              <w:jc w:val="center"/>
              <w:rPr>
                <w:rFonts w:cstheme="minorHAnsi"/>
              </w:rPr>
            </w:pPr>
          </w:p>
        </w:tc>
        <w:tc>
          <w:tcPr>
            <w:tcW w:w="2438"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Commonage (unfenced)</w:t>
            </w:r>
          </w:p>
          <w:p w:rsidR="00133FD8" w:rsidRPr="00133FD8" w:rsidRDefault="00133FD8" w:rsidP="00133FD8">
            <w:pPr>
              <w:autoSpaceDE w:val="0"/>
              <w:autoSpaceDN w:val="0"/>
              <w:adjustRightInd w:val="0"/>
              <w:contextualSpacing/>
              <w:jc w:val="center"/>
              <w:rPr>
                <w:rFonts w:cstheme="minorHAnsi"/>
              </w:rPr>
            </w:pPr>
            <w:r w:rsidRPr="00133FD8">
              <w:rPr>
                <w:rFonts w:cstheme="minorHAnsi"/>
              </w:rPr>
              <w:t>(9 farmers)</w:t>
            </w:r>
          </w:p>
        </w:tc>
        <w:tc>
          <w:tcPr>
            <w:tcW w:w="1985"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3 plots</w:t>
            </w:r>
          </w:p>
        </w:tc>
      </w:tr>
      <w:tr w:rsidR="00133FD8" w:rsidRPr="00133FD8" w:rsidTr="001C25CC">
        <w:tc>
          <w:tcPr>
            <w:tcW w:w="1196" w:type="dxa"/>
          </w:tcPr>
          <w:p w:rsidR="00133FD8" w:rsidRPr="00133FD8" w:rsidRDefault="00133FD8" w:rsidP="00133FD8">
            <w:pPr>
              <w:autoSpaceDE w:val="0"/>
              <w:autoSpaceDN w:val="0"/>
              <w:adjustRightInd w:val="0"/>
              <w:contextualSpacing/>
              <w:jc w:val="both"/>
              <w:rPr>
                <w:rFonts w:cstheme="minorHAnsi"/>
                <w:b/>
              </w:rPr>
            </w:pPr>
            <w:r w:rsidRPr="00133FD8">
              <w:rPr>
                <w:rFonts w:cstheme="minorHAnsi"/>
                <w:b/>
              </w:rPr>
              <w:t>Inis Méain</w:t>
            </w:r>
          </w:p>
        </w:tc>
        <w:tc>
          <w:tcPr>
            <w:tcW w:w="1577"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Ceann Gainimh</w:t>
            </w:r>
          </w:p>
        </w:tc>
        <w:tc>
          <w:tcPr>
            <w:tcW w:w="2438"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Private (fenced)</w:t>
            </w:r>
          </w:p>
        </w:tc>
        <w:tc>
          <w:tcPr>
            <w:tcW w:w="1985"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5 plots</w:t>
            </w:r>
          </w:p>
        </w:tc>
      </w:tr>
    </w:tbl>
    <w:p w:rsidR="00133FD8" w:rsidRPr="00133FD8" w:rsidRDefault="00133FD8" w:rsidP="00133FD8">
      <w:pPr>
        <w:autoSpaceDE w:val="0"/>
        <w:autoSpaceDN w:val="0"/>
        <w:adjustRightInd w:val="0"/>
        <w:spacing w:after="0" w:line="240" w:lineRule="auto"/>
        <w:contextualSpacing/>
        <w:jc w:val="both"/>
        <w:rPr>
          <w:rFonts w:ascii="Times New Roman" w:eastAsia="Times New Roman" w:hAnsi="Times New Roman" w:cstheme="minorHAnsi"/>
          <w:color w:val="000000"/>
          <w:sz w:val="24"/>
          <w:szCs w:val="24"/>
          <w:lang w:val="en-GB" w:eastAsia="en-GB"/>
        </w:rPr>
      </w:pPr>
    </w:p>
    <w:p w:rsidR="00133FD8" w:rsidRPr="00133FD8" w:rsidRDefault="00133FD8" w:rsidP="00133FD8">
      <w:pPr>
        <w:autoSpaceDE w:val="0"/>
        <w:autoSpaceDN w:val="0"/>
        <w:adjustRightInd w:val="0"/>
        <w:contextualSpacing/>
        <w:jc w:val="both"/>
        <w:rPr>
          <w:rFonts w:cstheme="minorHAnsi"/>
          <w:b/>
        </w:rPr>
      </w:pPr>
    </w:p>
    <w:p w:rsidR="00133FD8" w:rsidRPr="00133FD8" w:rsidRDefault="00133FD8" w:rsidP="00133FD8">
      <w:pPr>
        <w:keepNext/>
        <w:keepLines/>
        <w:spacing w:before="480" w:after="0"/>
        <w:outlineLvl w:val="0"/>
        <w:rPr>
          <w:rFonts w:ascii="Cambria" w:eastAsia="Times New Roman" w:hAnsi="Cambria" w:cstheme="minorHAnsi"/>
          <w:bCs/>
          <w:sz w:val="28"/>
          <w:szCs w:val="28"/>
          <w:lang w:val="en-GB"/>
        </w:rPr>
      </w:pPr>
      <w:bookmarkStart w:id="9" w:name="_Toc3284608"/>
      <w:r w:rsidRPr="00133FD8">
        <w:rPr>
          <w:rFonts w:ascii="Cambria" w:eastAsia="Times New Roman" w:hAnsi="Cambria" w:cstheme="minorHAnsi"/>
          <w:bCs/>
          <w:sz w:val="28"/>
          <w:szCs w:val="28"/>
          <w:lang w:val="en-GB"/>
        </w:rPr>
        <w:t>Methodology</w:t>
      </w:r>
      <w:bookmarkEnd w:id="9"/>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keepNext/>
        <w:keepLines/>
        <w:spacing w:before="200" w:after="0"/>
        <w:outlineLvl w:val="1"/>
        <w:rPr>
          <w:rFonts w:ascii="Cambria" w:eastAsia="Times New Roman" w:hAnsi="Cambria" w:cstheme="minorHAnsi"/>
          <w:bCs/>
          <w:color w:val="4F81BD"/>
          <w:sz w:val="26"/>
          <w:szCs w:val="26"/>
          <w:lang w:val="en-GB"/>
        </w:rPr>
      </w:pPr>
      <w:bookmarkStart w:id="10" w:name="_Toc3284609"/>
      <w:r w:rsidRPr="00133FD8">
        <w:rPr>
          <w:rFonts w:ascii="Cambria" w:eastAsia="Times New Roman" w:hAnsi="Cambria" w:cstheme="minorHAnsi"/>
          <w:bCs/>
          <w:color w:val="4F81BD"/>
          <w:sz w:val="26"/>
          <w:szCs w:val="26"/>
          <w:lang w:val="en-GB"/>
        </w:rPr>
        <w:t>The seaweed study</w:t>
      </w:r>
      <w:bookmarkEnd w:id="10"/>
    </w:p>
    <w:p w:rsidR="00133FD8" w:rsidRPr="00133FD8" w:rsidRDefault="00133FD8" w:rsidP="00133FD8">
      <w:pPr>
        <w:autoSpaceDE w:val="0"/>
        <w:autoSpaceDN w:val="0"/>
        <w:adjustRightInd w:val="0"/>
        <w:contextualSpacing/>
        <w:jc w:val="both"/>
        <w:rPr>
          <w:rFonts w:cstheme="minorHAnsi"/>
        </w:rPr>
      </w:pPr>
      <w:r w:rsidRPr="00133FD8">
        <w:rPr>
          <w:rFonts w:cstheme="minorHAnsi"/>
        </w:rPr>
        <w:t>The first phase of seaweed application began in March/April 2015. As these machair sites are known lapwing nesting sites care was taken to avoid areas and times where and when lapwings were active. Each seaweed plot is approximately 20mx10m. S</w:t>
      </w:r>
      <w:r w:rsidRPr="00133FD8">
        <w:t xml:space="preserve">eaweed collected form the strandline was applied to plots by hand ensuring even coverage throughout. </w:t>
      </w:r>
      <w:r w:rsidRPr="00133FD8">
        <w:rPr>
          <w:rFonts w:cstheme="minorHAnsi"/>
        </w:rPr>
        <w:t>It was envisaged that once applied the application rate on each plot could be calculated, however this proved difficult owing to varying water content of the seaweed at time of application (the variability of the seaweed depending on how long it had been on the strandline) as well as the difficulties of being on site at the exact time of application. Initial trials results produced 3, 4, 5 and 6kg of seaweed wet matter per m</w:t>
      </w:r>
      <w:r w:rsidRPr="00133FD8">
        <w:rPr>
          <w:rFonts w:cstheme="minorHAnsi"/>
          <w:vertAlign w:val="superscript"/>
        </w:rPr>
        <w:t>2</w:t>
      </w:r>
      <w:r w:rsidRPr="00133FD8">
        <w:rPr>
          <w:rFonts w:cstheme="minorHAnsi"/>
        </w:rPr>
        <w:t>, at four different sites. Further trials will continue to get approximate application rates in terms of dry matter weight.</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rPr>
      </w:pPr>
      <w:r w:rsidRPr="00133FD8">
        <w:rPr>
          <w:rFonts w:cstheme="minorHAnsi"/>
        </w:rPr>
        <w:t>Machair LIFE in Scotland commissioned a report (Ferguson 2012) in which the nutritive quality of seaweed was analysed and different stages of composition: fresh, semi-rotten and rotten.</w:t>
      </w:r>
    </w:p>
    <w:tbl>
      <w:tblPr>
        <w:tblW w:w="0" w:type="auto"/>
        <w:tblLook w:val="04A0" w:firstRow="1" w:lastRow="0" w:firstColumn="1" w:lastColumn="0" w:noHBand="0" w:noVBand="1"/>
      </w:tblPr>
      <w:tblGrid>
        <w:gridCol w:w="2310"/>
        <w:gridCol w:w="2310"/>
        <w:gridCol w:w="2311"/>
        <w:gridCol w:w="2311"/>
      </w:tblGrid>
      <w:tr w:rsidR="00133FD8" w:rsidRPr="00133FD8" w:rsidTr="001C25CC">
        <w:tc>
          <w:tcPr>
            <w:tcW w:w="2310" w:type="dxa"/>
          </w:tcPr>
          <w:p w:rsidR="00133FD8" w:rsidRPr="00133FD8" w:rsidRDefault="00133FD8" w:rsidP="00133FD8">
            <w:pPr>
              <w:autoSpaceDE w:val="0"/>
              <w:autoSpaceDN w:val="0"/>
              <w:adjustRightInd w:val="0"/>
              <w:contextualSpacing/>
              <w:jc w:val="both"/>
              <w:rPr>
                <w:rFonts w:cstheme="minorHAnsi"/>
              </w:rPr>
            </w:pPr>
          </w:p>
        </w:tc>
        <w:tc>
          <w:tcPr>
            <w:tcW w:w="2310" w:type="dxa"/>
          </w:tcPr>
          <w:p w:rsidR="00133FD8" w:rsidRPr="00133FD8" w:rsidRDefault="00133FD8" w:rsidP="00133FD8">
            <w:pPr>
              <w:autoSpaceDE w:val="0"/>
              <w:autoSpaceDN w:val="0"/>
              <w:adjustRightInd w:val="0"/>
              <w:contextualSpacing/>
              <w:jc w:val="center"/>
              <w:rPr>
                <w:rFonts w:cstheme="minorHAnsi"/>
                <w:b/>
              </w:rPr>
            </w:pPr>
            <w:r w:rsidRPr="00133FD8">
              <w:rPr>
                <w:rFonts w:cstheme="minorHAnsi"/>
                <w:b/>
              </w:rPr>
              <w:t>Fresh</w:t>
            </w:r>
          </w:p>
        </w:tc>
        <w:tc>
          <w:tcPr>
            <w:tcW w:w="2311" w:type="dxa"/>
          </w:tcPr>
          <w:p w:rsidR="00133FD8" w:rsidRPr="00133FD8" w:rsidRDefault="00133FD8" w:rsidP="00133FD8">
            <w:pPr>
              <w:autoSpaceDE w:val="0"/>
              <w:autoSpaceDN w:val="0"/>
              <w:adjustRightInd w:val="0"/>
              <w:contextualSpacing/>
              <w:jc w:val="center"/>
              <w:rPr>
                <w:rFonts w:cstheme="minorHAnsi"/>
                <w:b/>
              </w:rPr>
            </w:pPr>
            <w:r w:rsidRPr="00133FD8">
              <w:rPr>
                <w:rFonts w:cstheme="minorHAnsi"/>
                <w:b/>
              </w:rPr>
              <w:t>Semi</w:t>
            </w:r>
          </w:p>
        </w:tc>
        <w:tc>
          <w:tcPr>
            <w:tcW w:w="2311" w:type="dxa"/>
          </w:tcPr>
          <w:p w:rsidR="00133FD8" w:rsidRPr="00133FD8" w:rsidRDefault="00133FD8" w:rsidP="00133FD8">
            <w:pPr>
              <w:autoSpaceDE w:val="0"/>
              <w:autoSpaceDN w:val="0"/>
              <w:adjustRightInd w:val="0"/>
              <w:contextualSpacing/>
              <w:jc w:val="center"/>
              <w:rPr>
                <w:rFonts w:cstheme="minorHAnsi"/>
                <w:b/>
              </w:rPr>
            </w:pPr>
            <w:r w:rsidRPr="00133FD8">
              <w:rPr>
                <w:rFonts w:cstheme="minorHAnsi"/>
                <w:b/>
              </w:rPr>
              <w:t>Rotten</w:t>
            </w:r>
          </w:p>
        </w:tc>
      </w:tr>
      <w:tr w:rsidR="00133FD8" w:rsidRPr="00133FD8" w:rsidTr="001C25CC">
        <w:tc>
          <w:tcPr>
            <w:tcW w:w="2310" w:type="dxa"/>
          </w:tcPr>
          <w:p w:rsidR="00133FD8" w:rsidRPr="00133FD8" w:rsidRDefault="00133FD8" w:rsidP="00133FD8">
            <w:pPr>
              <w:autoSpaceDE w:val="0"/>
              <w:autoSpaceDN w:val="0"/>
              <w:adjustRightInd w:val="0"/>
              <w:contextualSpacing/>
              <w:jc w:val="both"/>
              <w:rPr>
                <w:rFonts w:cstheme="minorHAnsi"/>
              </w:rPr>
            </w:pPr>
            <w:r w:rsidRPr="00133FD8">
              <w:rPr>
                <w:rFonts w:cstheme="minorHAnsi"/>
              </w:rPr>
              <w:t>Dry Matter</w:t>
            </w:r>
          </w:p>
        </w:tc>
        <w:tc>
          <w:tcPr>
            <w:tcW w:w="2310"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14.7%</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18.8%</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17.0%</w:t>
            </w:r>
          </w:p>
        </w:tc>
      </w:tr>
      <w:tr w:rsidR="00133FD8" w:rsidRPr="00133FD8" w:rsidTr="001C25CC">
        <w:tc>
          <w:tcPr>
            <w:tcW w:w="2310" w:type="dxa"/>
          </w:tcPr>
          <w:p w:rsidR="00133FD8" w:rsidRPr="00133FD8" w:rsidRDefault="00133FD8" w:rsidP="00133FD8">
            <w:pPr>
              <w:autoSpaceDE w:val="0"/>
              <w:autoSpaceDN w:val="0"/>
              <w:adjustRightInd w:val="0"/>
              <w:contextualSpacing/>
              <w:jc w:val="both"/>
              <w:rPr>
                <w:rFonts w:cstheme="minorHAnsi"/>
              </w:rPr>
            </w:pPr>
            <w:r w:rsidRPr="00133FD8">
              <w:rPr>
                <w:rFonts w:cstheme="minorHAnsi"/>
              </w:rPr>
              <w:t>pH</w:t>
            </w:r>
          </w:p>
        </w:tc>
        <w:tc>
          <w:tcPr>
            <w:tcW w:w="2310"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6.6</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6.36</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8.41</w:t>
            </w:r>
          </w:p>
        </w:tc>
      </w:tr>
      <w:tr w:rsidR="00133FD8" w:rsidRPr="00133FD8" w:rsidTr="001C25CC">
        <w:tc>
          <w:tcPr>
            <w:tcW w:w="2310" w:type="dxa"/>
          </w:tcPr>
          <w:p w:rsidR="00133FD8" w:rsidRPr="00133FD8" w:rsidRDefault="00133FD8" w:rsidP="00133FD8">
            <w:pPr>
              <w:autoSpaceDE w:val="0"/>
              <w:autoSpaceDN w:val="0"/>
              <w:adjustRightInd w:val="0"/>
              <w:contextualSpacing/>
              <w:jc w:val="both"/>
              <w:rPr>
                <w:rFonts w:cstheme="minorHAnsi"/>
              </w:rPr>
            </w:pPr>
            <w:r w:rsidRPr="00133FD8">
              <w:rPr>
                <w:rFonts w:cstheme="minorHAnsi"/>
              </w:rPr>
              <w:t>Total Nitrogen</w:t>
            </w:r>
          </w:p>
        </w:tc>
        <w:tc>
          <w:tcPr>
            <w:tcW w:w="2310"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0.38%</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0.016%</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0.79%</w:t>
            </w:r>
          </w:p>
        </w:tc>
      </w:tr>
      <w:tr w:rsidR="00133FD8" w:rsidRPr="00133FD8" w:rsidTr="001C25CC">
        <w:tc>
          <w:tcPr>
            <w:tcW w:w="2310" w:type="dxa"/>
          </w:tcPr>
          <w:p w:rsidR="00133FD8" w:rsidRPr="00133FD8" w:rsidRDefault="00133FD8" w:rsidP="00133FD8">
            <w:pPr>
              <w:autoSpaceDE w:val="0"/>
              <w:autoSpaceDN w:val="0"/>
              <w:adjustRightInd w:val="0"/>
              <w:contextualSpacing/>
              <w:jc w:val="both"/>
              <w:rPr>
                <w:rFonts w:cstheme="minorHAnsi"/>
              </w:rPr>
            </w:pPr>
            <w:r w:rsidRPr="00133FD8">
              <w:rPr>
                <w:rFonts w:cstheme="minorHAnsi"/>
              </w:rPr>
              <w:t>Total Phosphate</w:t>
            </w:r>
          </w:p>
        </w:tc>
        <w:tc>
          <w:tcPr>
            <w:tcW w:w="2310"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0.14%</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0.17%</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0.20%</w:t>
            </w:r>
          </w:p>
        </w:tc>
      </w:tr>
      <w:tr w:rsidR="00133FD8" w:rsidRPr="00133FD8" w:rsidTr="001C25CC">
        <w:tc>
          <w:tcPr>
            <w:tcW w:w="2310" w:type="dxa"/>
          </w:tcPr>
          <w:p w:rsidR="00133FD8" w:rsidRPr="00133FD8" w:rsidRDefault="00133FD8" w:rsidP="00133FD8">
            <w:pPr>
              <w:autoSpaceDE w:val="0"/>
              <w:autoSpaceDN w:val="0"/>
              <w:adjustRightInd w:val="0"/>
              <w:contextualSpacing/>
              <w:jc w:val="both"/>
              <w:rPr>
                <w:rFonts w:cstheme="minorHAnsi"/>
              </w:rPr>
            </w:pPr>
            <w:r w:rsidRPr="00133FD8">
              <w:rPr>
                <w:rFonts w:cstheme="minorHAnsi"/>
              </w:rPr>
              <w:t>Total Potash</w:t>
            </w:r>
          </w:p>
        </w:tc>
        <w:tc>
          <w:tcPr>
            <w:tcW w:w="2310"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1.35%</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1.06%</w:t>
            </w:r>
          </w:p>
        </w:tc>
        <w:tc>
          <w:tcPr>
            <w:tcW w:w="2311" w:type="dxa"/>
          </w:tcPr>
          <w:p w:rsidR="00133FD8" w:rsidRPr="00133FD8" w:rsidRDefault="00133FD8" w:rsidP="00133FD8">
            <w:pPr>
              <w:autoSpaceDE w:val="0"/>
              <w:autoSpaceDN w:val="0"/>
              <w:adjustRightInd w:val="0"/>
              <w:contextualSpacing/>
              <w:jc w:val="center"/>
              <w:rPr>
                <w:rFonts w:cstheme="minorHAnsi"/>
              </w:rPr>
            </w:pPr>
            <w:r w:rsidRPr="00133FD8">
              <w:rPr>
                <w:rFonts w:cstheme="minorHAnsi"/>
              </w:rPr>
              <w:t>0.74%</w:t>
            </w:r>
          </w:p>
        </w:tc>
      </w:tr>
    </w:tbl>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rPr>
      </w:pPr>
      <w:r w:rsidRPr="00133FD8">
        <w:rPr>
          <w:rFonts w:cstheme="minorHAnsi"/>
        </w:rPr>
        <w:t>This Machair LIFE report concluded that the average nutritive quality of seaweed in terms of NPK is (0.55:0.17:1.05). (Ferguson 2012)</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rPr>
      </w:pPr>
      <w:r w:rsidRPr="00133FD8">
        <w:rPr>
          <w:rFonts w:cstheme="minorHAnsi"/>
        </w:rPr>
        <w:t>The selection of plots for seaweed application was primarily based on the farmers input as to where the forage available for cattle was particularly low. Areas were also selected that showed obvious signs of damage through erosion where bare sand predominates.</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rPr>
      </w:pPr>
      <w:r w:rsidRPr="00133FD8">
        <w:rPr>
          <w:rFonts w:cstheme="minorHAnsi"/>
        </w:rPr>
        <w:t>Permanent monitoring quadrats (4m</w:t>
      </w:r>
      <w:r w:rsidRPr="00133FD8">
        <w:rPr>
          <w:rFonts w:cstheme="minorHAnsi"/>
          <w:vertAlign w:val="superscript"/>
        </w:rPr>
        <w:t>2</w:t>
      </w:r>
      <w:r w:rsidRPr="00133FD8">
        <w:rPr>
          <w:rFonts w:cstheme="minorHAnsi"/>
        </w:rPr>
        <w:t>) were set up within the 20mx10m plots by the AranLIFE team as well in adjacent untreated areas. These quadrats were surveyed for their floristic composition and will be monitored annually over the duration of the project and any changes in vegetation noted.</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Monitoring will follow national monitoring methodologies (Ryle </w:t>
      </w:r>
      <w:r w:rsidRPr="00133FD8">
        <w:rPr>
          <w:rFonts w:ascii="Times New Roman" w:eastAsia="Times New Roman" w:hAnsi="Times New Roman" w:cs="Times New Roman"/>
          <w:i/>
          <w:sz w:val="24"/>
          <w:szCs w:val="24"/>
          <w:lang w:val="en-GB" w:eastAsia="en-GB"/>
        </w:rPr>
        <w:t>et al.</w:t>
      </w:r>
      <w:r w:rsidRPr="00133FD8">
        <w:rPr>
          <w:rFonts w:ascii="Times New Roman" w:eastAsia="Times New Roman" w:hAnsi="Times New Roman" w:cs="Times New Roman"/>
          <w:sz w:val="24"/>
          <w:szCs w:val="24"/>
          <w:lang w:val="en-GB" w:eastAsia="en-GB"/>
        </w:rPr>
        <w:t xml:space="preserve"> 2009; Delaney </w:t>
      </w:r>
      <w:r w:rsidRPr="00133FD8">
        <w:rPr>
          <w:rFonts w:ascii="Times New Roman" w:eastAsia="Times New Roman" w:hAnsi="Times New Roman" w:cs="Times New Roman"/>
          <w:i/>
          <w:sz w:val="24"/>
          <w:szCs w:val="24"/>
          <w:lang w:val="en-GB" w:eastAsia="en-GB"/>
        </w:rPr>
        <w:t>et al</w:t>
      </w:r>
      <w:r w:rsidRPr="00133FD8">
        <w:rPr>
          <w:rFonts w:ascii="Times New Roman" w:eastAsia="Times New Roman" w:hAnsi="Times New Roman" w:cs="Times New Roman"/>
          <w:sz w:val="24"/>
          <w:szCs w:val="24"/>
          <w:lang w:val="en-GB" w:eastAsia="en-GB"/>
        </w:rPr>
        <w:t>. 2013) (Appendix 3). A relevé size of 4m</w:t>
      </w:r>
      <w:r w:rsidRPr="00133FD8">
        <w:rPr>
          <w:rFonts w:ascii="Times New Roman" w:eastAsia="Times New Roman" w:hAnsi="Times New Roman" w:cs="Times New Roman"/>
          <w:sz w:val="24"/>
          <w:szCs w:val="24"/>
          <w:vertAlign w:val="superscript"/>
          <w:lang w:val="en-GB" w:eastAsia="en-GB"/>
        </w:rPr>
        <w:t>2</w:t>
      </w:r>
      <w:r w:rsidRPr="00133FD8">
        <w:rPr>
          <w:rFonts w:ascii="Times New Roman" w:eastAsia="Times New Roman" w:hAnsi="Times New Roman" w:cs="Times New Roman"/>
          <w:sz w:val="24"/>
          <w:szCs w:val="24"/>
          <w:lang w:val="en-GB" w:eastAsia="en-GB"/>
        </w:rPr>
        <w:t xml:space="preserve"> is used for machair grassland monitoring.</w:t>
      </w: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Relevés were recorded in July and August 2015 to analyse the impact of the seaweed applications on the grassland vegetation. </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percentage cover of all plant species within the relevé is estimated and a cover-abundance number from the Domin cover-abundance scale is assigned to each species identified (Table 2). </w:t>
      </w: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br w:type="page"/>
      </w:r>
    </w:p>
    <w:p w:rsidR="00133FD8" w:rsidRPr="00133FD8" w:rsidRDefault="00133FD8" w:rsidP="00133FD8">
      <w:pPr>
        <w:spacing w:after="0" w:line="240" w:lineRule="auto"/>
        <w:jc w:val="both"/>
        <w:rPr>
          <w:rFonts w:ascii="Times New Roman" w:eastAsia="Times New Roman" w:hAnsi="Times New Roman" w:cs="Times New Roman"/>
          <w:b/>
          <w:sz w:val="24"/>
          <w:szCs w:val="24"/>
          <w:lang w:val="en-GB" w:eastAsia="en-GB"/>
        </w:rPr>
      </w:pPr>
      <w:proofErr w:type="gramStart"/>
      <w:r w:rsidRPr="00133FD8">
        <w:rPr>
          <w:rFonts w:ascii="Times New Roman" w:eastAsia="Times New Roman" w:hAnsi="Times New Roman" w:cs="Times New Roman"/>
          <w:b/>
          <w:sz w:val="24"/>
          <w:szCs w:val="24"/>
          <w:lang w:val="en-GB" w:eastAsia="en-GB"/>
        </w:rPr>
        <w:lastRenderedPageBreak/>
        <w:t>Table 2.</w:t>
      </w:r>
      <w:proofErr w:type="gramEnd"/>
      <w:r w:rsidRPr="00133FD8">
        <w:rPr>
          <w:rFonts w:ascii="Times New Roman" w:eastAsia="Times New Roman" w:hAnsi="Times New Roman" w:cs="Times New Roman"/>
          <w:b/>
          <w:sz w:val="24"/>
          <w:szCs w:val="24"/>
          <w:lang w:val="en-GB" w:eastAsia="en-GB"/>
        </w:rPr>
        <w:t xml:space="preserve"> The Domin cover/abundance scale</w:t>
      </w:r>
    </w:p>
    <w:tbl>
      <w:tblPr>
        <w:tblW w:w="0" w:type="auto"/>
        <w:tblInd w:w="675" w:type="dxa"/>
        <w:tblLook w:val="04A0" w:firstRow="1" w:lastRow="0" w:firstColumn="1" w:lastColumn="0" w:noHBand="0" w:noVBand="1"/>
      </w:tblPr>
      <w:tblGrid>
        <w:gridCol w:w="5812"/>
        <w:gridCol w:w="1418"/>
      </w:tblGrid>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 cover/abundance</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Domin scale</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A single individual. No measurable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1 to 2 individuals. No measurable cover. Individuals with normal vigour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1</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Several individuals but less than 1%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2</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1-4%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3</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5-10%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4</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11-25%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5</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26-33%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6</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34-50%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7</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51-75%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8</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76-90%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9</w:t>
            </w:r>
          </w:p>
        </w:tc>
      </w:tr>
      <w:tr w:rsidR="00133FD8" w:rsidRPr="00133FD8" w:rsidTr="001C25CC">
        <w:tc>
          <w:tcPr>
            <w:tcW w:w="5812" w:type="dxa"/>
          </w:tcPr>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91-100% cover</w:t>
            </w:r>
          </w:p>
        </w:tc>
        <w:tc>
          <w:tcPr>
            <w:tcW w:w="1418" w:type="dxa"/>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10</w:t>
            </w:r>
          </w:p>
        </w:tc>
      </w:tr>
    </w:tbl>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following additional information is also recorded in each relevé: % cover of bare rock, % bare soil, % litter, % grass/sedge layer, % broadleaf layer, % bryophyte layer, median grass and herb height. </w:t>
      </w: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A series </w:t>
      </w:r>
      <w:proofErr w:type="gramStart"/>
      <w:r w:rsidRPr="00133FD8">
        <w:rPr>
          <w:rFonts w:ascii="Times New Roman" w:eastAsia="Times New Roman" w:hAnsi="Times New Roman" w:cs="Times New Roman"/>
          <w:sz w:val="24"/>
          <w:szCs w:val="24"/>
          <w:lang w:val="en-GB" w:eastAsia="en-GB"/>
        </w:rPr>
        <w:t>of  fixed</w:t>
      </w:r>
      <w:proofErr w:type="gramEnd"/>
      <w:r w:rsidRPr="00133FD8">
        <w:rPr>
          <w:rFonts w:ascii="Times New Roman" w:eastAsia="Times New Roman" w:hAnsi="Times New Roman" w:cs="Times New Roman"/>
          <w:sz w:val="24"/>
          <w:szCs w:val="24"/>
          <w:lang w:val="en-GB" w:eastAsia="en-GB"/>
        </w:rPr>
        <w:t xml:space="preserve"> point photos are taken of each relevé and a close up photo of the relevé vegetation is taken.</w:t>
      </w: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Appendix 1 &amp; 2 details the relevé descriptions from Inis Mór and Inis Meáin.</w:t>
      </w: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These relevés are analysed as monitoring stops according to the criteria for assessing conservation status (Ryle </w:t>
      </w:r>
      <w:r w:rsidRPr="00133FD8">
        <w:rPr>
          <w:rFonts w:ascii="Times New Roman" w:eastAsia="Times New Roman" w:hAnsi="Times New Roman" w:cs="Times New Roman"/>
          <w:i/>
          <w:sz w:val="24"/>
          <w:szCs w:val="24"/>
          <w:lang w:val="en-GB" w:eastAsia="en-GB"/>
        </w:rPr>
        <w:t>et al.</w:t>
      </w:r>
      <w:r w:rsidRPr="00133FD8">
        <w:rPr>
          <w:rFonts w:ascii="Times New Roman" w:eastAsia="Times New Roman" w:hAnsi="Times New Roman" w:cs="Times New Roman"/>
          <w:sz w:val="24"/>
          <w:szCs w:val="24"/>
          <w:lang w:val="en-GB" w:eastAsia="en-GB"/>
        </w:rPr>
        <w:t xml:space="preserve"> 2009; Delaney </w:t>
      </w:r>
      <w:r w:rsidRPr="00133FD8">
        <w:rPr>
          <w:rFonts w:ascii="Times New Roman" w:eastAsia="Times New Roman" w:hAnsi="Times New Roman" w:cs="Times New Roman"/>
          <w:i/>
          <w:sz w:val="24"/>
          <w:szCs w:val="24"/>
          <w:lang w:val="en-GB" w:eastAsia="en-GB"/>
        </w:rPr>
        <w:t>et al</w:t>
      </w:r>
      <w:r w:rsidRPr="00133FD8">
        <w:rPr>
          <w:rFonts w:ascii="Times New Roman" w:eastAsia="Times New Roman" w:hAnsi="Times New Roman" w:cs="Times New Roman"/>
          <w:sz w:val="24"/>
          <w:szCs w:val="24"/>
          <w:lang w:val="en-GB" w:eastAsia="en-GB"/>
        </w:rPr>
        <w:t>. 2013) (Appendix 3).</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rPr>
      </w:pPr>
      <w:r w:rsidRPr="00133FD8">
        <w:rPr>
          <w:rFonts w:cstheme="minorHAnsi"/>
        </w:rPr>
        <w:t>A total of 13 relevés were recorded within seaweed plots and 13 were recorded in adjacent untreated plots. One relevé was recorded within a plot prior to seaweed application. (In total 44 relevés recorded in machair on Inis Meáin and Inis Mór as part of the overall AranLIFE monitoring programme and 27 of these relevés are associated with the seaweed trials.)</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jc w:val="both"/>
      </w:pPr>
      <w:r w:rsidRPr="00133FD8">
        <w:rPr>
          <w:rFonts w:cstheme="minorHAnsi"/>
        </w:rPr>
        <w:t xml:space="preserve">Forage samples and soil samples were taken to accompany the relevé data. Dry Matter Yield t/ha was calculated from the forage samples and soil samples were analysed for pH, Phosphorus, Magnesium and Potassium. </w:t>
      </w:r>
      <w:r w:rsidRPr="00133FD8">
        <w:t>Initially Morgan’s Test was used as used by Teagasc for determining available Phosphorus, however, due to the high pH of the soils the results were unreliable and subsequent samples using Olsens’s method appear to be more accurate.</w:t>
      </w:r>
    </w:p>
    <w:p w:rsidR="00133FD8" w:rsidRPr="00133FD8" w:rsidRDefault="00133FD8" w:rsidP="00133FD8">
      <w:pPr>
        <w:autoSpaceDE w:val="0"/>
        <w:autoSpaceDN w:val="0"/>
        <w:adjustRightInd w:val="0"/>
        <w:contextualSpacing/>
        <w:jc w:val="both"/>
        <w:rPr>
          <w:rFonts w:cstheme="minorHAnsi"/>
          <w:b/>
        </w:rPr>
      </w:pPr>
    </w:p>
    <w:p w:rsidR="00133FD8" w:rsidRPr="00133FD8" w:rsidRDefault="00133FD8" w:rsidP="00133FD8">
      <w:pPr>
        <w:autoSpaceDE w:val="0"/>
        <w:autoSpaceDN w:val="0"/>
        <w:adjustRightInd w:val="0"/>
        <w:contextualSpacing/>
        <w:jc w:val="both"/>
        <w:rPr>
          <w:rFonts w:cstheme="minorHAnsi"/>
        </w:rPr>
      </w:pPr>
      <w:r w:rsidRPr="00133FD8">
        <w:rPr>
          <w:rFonts w:cstheme="minorHAnsi"/>
        </w:rPr>
        <w:t>Phase 2 will involve monitoring seaweed plots at Kilmurvey (seaweed has been applied in October 2015), re-applying seaweed on Phase 1 plots and selecting new plots on both Inis Meáin and at Trá Mór, Inis Mór.</w:t>
      </w: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autoSpaceDE w:val="0"/>
        <w:autoSpaceDN w:val="0"/>
        <w:adjustRightInd w:val="0"/>
        <w:contextualSpacing/>
        <w:jc w:val="both"/>
        <w:rPr>
          <w:rFonts w:cstheme="minorHAnsi"/>
        </w:rPr>
      </w:pP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sectPr w:rsidR="00133FD8" w:rsidRPr="00133FD8" w:rsidSect="00CD3224">
          <w:footerReference w:type="default" r:id="rId17"/>
          <w:pgSz w:w="11906" w:h="16838"/>
          <w:pgMar w:top="1440" w:right="1440" w:bottom="1440" w:left="1440" w:header="708" w:footer="708" w:gutter="0"/>
          <w:pgNumType w:start="1"/>
          <w:cols w:space="708"/>
          <w:docGrid w:linePitch="360"/>
        </w:sectPr>
      </w:pPr>
    </w:p>
    <w:p w:rsidR="00133FD8" w:rsidRPr="00133FD8" w:rsidRDefault="00133FD8" w:rsidP="00133FD8">
      <w:pPr>
        <w:keepNext/>
        <w:keepLines/>
        <w:spacing w:before="200" w:after="0"/>
        <w:outlineLvl w:val="1"/>
        <w:rPr>
          <w:rFonts w:ascii="Cambria" w:eastAsia="Times New Roman" w:hAnsi="Cambria" w:cs="Times New Roman"/>
          <w:bCs/>
          <w:color w:val="4F81BD"/>
          <w:sz w:val="26"/>
          <w:szCs w:val="26"/>
          <w:lang w:val="en-GB"/>
        </w:rPr>
      </w:pPr>
      <w:bookmarkStart w:id="11" w:name="_Toc3284610"/>
      <w:r w:rsidRPr="00133FD8">
        <w:rPr>
          <w:rFonts w:ascii="Cambria" w:eastAsia="Times New Roman" w:hAnsi="Cambria" w:cs="Times New Roman"/>
          <w:bCs/>
          <w:color w:val="4F81BD"/>
          <w:sz w:val="26"/>
          <w:szCs w:val="26"/>
          <w:lang w:val="en-GB"/>
        </w:rPr>
        <w:lastRenderedPageBreak/>
        <w:t>Plot descriptions</w:t>
      </w:r>
      <w:bookmarkEnd w:id="11"/>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Eight seaweed plots were set up on Inis Meáin and Inis Mór and seaweed applied in March/April 2015.</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839"/>
        <w:gridCol w:w="5861"/>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 1 CS1</w:t>
            </w:r>
          </w:p>
        </w:tc>
        <w:tc>
          <w:tcPr>
            <w:tcW w:w="1839"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Trá Mór, Inis Mór</w:t>
            </w:r>
          </w:p>
        </w:tc>
        <w:tc>
          <w:tcPr>
            <w:tcW w:w="5861"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Moss-rich , short sward, heavily grazed by rabbits, small patches of eroded machair adjacent to plot.(August 2015)</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04BEA414" wp14:editId="20A958F4">
                  <wp:extent cx="4257675" cy="3193492"/>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6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67293" cy="3200706"/>
                          </a:xfrm>
                          <a:prstGeom prst="rect">
                            <a:avLst/>
                          </a:prstGeom>
                        </pic:spPr>
                      </pic:pic>
                    </a:graphicData>
                  </a:graphic>
                </wp:inline>
              </w:drawing>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839"/>
        <w:gridCol w:w="5861"/>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 2 PN1</w:t>
            </w:r>
          </w:p>
        </w:tc>
        <w:tc>
          <w:tcPr>
            <w:tcW w:w="1839"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Trá Mór, Inis Mór</w:t>
            </w:r>
          </w:p>
        </w:tc>
        <w:tc>
          <w:tcPr>
            <w:tcW w:w="5861"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 xml:space="preserve">Moss-rich , short sward, heavily grazed by rabbits.(July 2015) </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066CB2CB" wp14:editId="1313C6FA">
                  <wp:extent cx="4558964" cy="34194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2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65959" cy="3424721"/>
                          </a:xfrm>
                          <a:prstGeom prst="rect">
                            <a:avLst/>
                          </a:prstGeom>
                        </pic:spPr>
                      </pic:pic>
                    </a:graphicData>
                  </a:graphic>
                </wp:inline>
              </w:drawing>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839"/>
        <w:gridCol w:w="5861"/>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 3 PN2</w:t>
            </w:r>
          </w:p>
        </w:tc>
        <w:tc>
          <w:tcPr>
            <w:tcW w:w="1839"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Trá Mór, Inis Mór</w:t>
            </w:r>
          </w:p>
        </w:tc>
        <w:tc>
          <w:tcPr>
            <w:tcW w:w="5861"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Very eroded part of the machair, Erosion caused by a combination of sand removal, disturbance and wind. Rabbits also active in this area (July 2015)</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4A1387AD" wp14:editId="6A48E431">
                  <wp:extent cx="4572000" cy="342925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2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89950" cy="3442718"/>
                          </a:xfrm>
                          <a:prstGeom prst="rect">
                            <a:avLst/>
                          </a:prstGeom>
                        </pic:spPr>
                      </pic:pic>
                    </a:graphicData>
                  </a:graphic>
                </wp:inline>
              </w:drawing>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839"/>
        <w:gridCol w:w="5861"/>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 7 PM1</w:t>
            </w:r>
          </w:p>
        </w:tc>
        <w:tc>
          <w:tcPr>
            <w:tcW w:w="1839"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Inis Meáin</w:t>
            </w:r>
          </w:p>
        </w:tc>
        <w:tc>
          <w:tcPr>
            <w:tcW w:w="5861"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Thick sward of vegetation, rich in grasses and mosses (May 2015).</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noProof/>
                <w:sz w:val="24"/>
                <w:szCs w:val="24"/>
                <w:lang w:val="en-GB" w:eastAsia="en-GB"/>
              </w:rPr>
              <w:drawing>
                <wp:inline distT="0" distB="0" distL="0" distR="0" wp14:anchorId="6E94DC2C" wp14:editId="5FCF8130">
                  <wp:extent cx="4678335" cy="350901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84996" cy="3514006"/>
                          </a:xfrm>
                          <a:prstGeom prst="rect">
                            <a:avLst/>
                          </a:prstGeom>
                        </pic:spPr>
                      </pic:pic>
                    </a:graphicData>
                  </a:graphic>
                </wp:inline>
              </w:drawing>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260"/>
        <w:gridCol w:w="6440"/>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 8 RC1</w:t>
            </w:r>
          </w:p>
        </w:tc>
        <w:tc>
          <w:tcPr>
            <w:tcW w:w="126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Inis Meáin</w:t>
            </w:r>
          </w:p>
        </w:tc>
        <w:tc>
          <w:tcPr>
            <w:tcW w:w="644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Short sward of vegetation, rich in mosses. Bare unvegetated patches present (May 2015).</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noProof/>
                <w:sz w:val="24"/>
                <w:szCs w:val="24"/>
                <w:lang w:val="en-GB" w:eastAsia="en-GB"/>
              </w:rPr>
              <w:lastRenderedPageBreak/>
              <w:drawing>
                <wp:inline distT="0" distB="0" distL="0" distR="0" wp14:anchorId="76979582" wp14:editId="304FA319">
                  <wp:extent cx="4743099" cy="3557587"/>
                  <wp:effectExtent l="0" t="0" r="63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45289" cy="3559229"/>
                          </a:xfrm>
                          <a:prstGeom prst="rect">
                            <a:avLst/>
                          </a:prstGeom>
                        </pic:spPr>
                      </pic:pic>
                    </a:graphicData>
                  </a:graphic>
                </wp:inline>
              </w:drawing>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260"/>
        <w:gridCol w:w="6440"/>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 9 RC2</w:t>
            </w:r>
          </w:p>
        </w:tc>
        <w:tc>
          <w:tcPr>
            <w:tcW w:w="126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Inis Meáin</w:t>
            </w:r>
          </w:p>
        </w:tc>
        <w:tc>
          <w:tcPr>
            <w:tcW w:w="644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Low grass cover and sward height  and high moss cover (May 2015)</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noProof/>
                <w:sz w:val="24"/>
                <w:szCs w:val="24"/>
                <w:lang w:val="en-GB" w:eastAsia="en-GB"/>
              </w:rPr>
              <w:drawing>
                <wp:inline distT="0" distB="0" distL="0" distR="0" wp14:anchorId="27B5C951" wp14:editId="03F8ED37">
                  <wp:extent cx="5013985" cy="37607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19132" cy="3764627"/>
                          </a:xfrm>
                          <a:prstGeom prst="rect">
                            <a:avLst/>
                          </a:prstGeom>
                        </pic:spPr>
                      </pic:pic>
                    </a:graphicData>
                  </a:graphic>
                </wp:inline>
              </w:drawing>
            </w: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260"/>
        <w:gridCol w:w="6440"/>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Plot10 RC3</w:t>
            </w:r>
          </w:p>
        </w:tc>
        <w:tc>
          <w:tcPr>
            <w:tcW w:w="126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Inis Meáin</w:t>
            </w:r>
          </w:p>
        </w:tc>
        <w:tc>
          <w:tcPr>
            <w:tcW w:w="644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Area disturbed in the past with low sward cover. (May 2015)</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noProof/>
                <w:sz w:val="24"/>
                <w:szCs w:val="24"/>
                <w:lang w:val="en-GB" w:eastAsia="en-GB"/>
              </w:rPr>
              <w:lastRenderedPageBreak/>
              <w:drawing>
                <wp:inline distT="0" distB="0" distL="0" distR="0" wp14:anchorId="0BB55E4B" wp14:editId="47EF1200">
                  <wp:extent cx="4819293" cy="3614737"/>
                  <wp:effectExtent l="0" t="0" r="63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21519" cy="3616407"/>
                          </a:xfrm>
                          <a:prstGeom prst="rect">
                            <a:avLst/>
                          </a:prstGeom>
                        </pic:spPr>
                      </pic:pic>
                    </a:graphicData>
                  </a:graphic>
                </wp:inline>
              </w:drawing>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tbl>
      <w:tblPr>
        <w:tblW w:w="9242" w:type="dxa"/>
        <w:tblLook w:val="04A0" w:firstRow="1" w:lastRow="0" w:firstColumn="1" w:lastColumn="0" w:noHBand="0" w:noVBand="1"/>
      </w:tblPr>
      <w:tblGrid>
        <w:gridCol w:w="1542"/>
        <w:gridCol w:w="1260"/>
        <w:gridCol w:w="6440"/>
      </w:tblGrid>
      <w:tr w:rsidR="00133FD8" w:rsidRPr="00133FD8" w:rsidTr="001C25CC">
        <w:tc>
          <w:tcPr>
            <w:tcW w:w="1542"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Plot 11 SOD 1</w:t>
            </w:r>
          </w:p>
        </w:tc>
        <w:tc>
          <w:tcPr>
            <w:tcW w:w="126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Inis Meáin</w:t>
            </w:r>
          </w:p>
        </w:tc>
        <w:tc>
          <w:tcPr>
            <w:tcW w:w="6440" w:type="dxa"/>
          </w:tcPr>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t>Disturbed area of machair owing to sand removal. Seaweed plot covers entire disturbed area. Vegetation cover is low (May 2015).</w:t>
            </w:r>
          </w:p>
        </w:tc>
      </w:tr>
      <w:tr w:rsidR="00133FD8" w:rsidRPr="00133FD8" w:rsidTr="001C25CC">
        <w:tc>
          <w:tcPr>
            <w:tcW w:w="9242" w:type="dxa"/>
            <w:gridSpan w:val="3"/>
          </w:tcPr>
          <w:p w:rsidR="00133FD8" w:rsidRPr="00133FD8" w:rsidRDefault="00133FD8" w:rsidP="00133FD8">
            <w:pPr>
              <w:spacing w:after="0" w:line="240" w:lineRule="auto"/>
              <w:jc w:val="center"/>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234F0367" wp14:editId="29424343">
                  <wp:extent cx="5105400" cy="3609975"/>
                  <wp:effectExtent l="0" t="0" r="0" b="9525"/>
                  <wp:docPr id="13" name="Picture 13"/>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12323" cy="3614870"/>
                          </a:xfrm>
                          <a:prstGeom prst="rect">
                            <a:avLst/>
                          </a:prstGeom>
                        </pic:spPr>
                      </pic:pic>
                    </a:graphicData>
                  </a:graphic>
                </wp:inline>
              </w:drawing>
            </w: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p>
        </w:tc>
      </w:tr>
    </w:tbl>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br w:type="page"/>
      </w:r>
    </w:p>
    <w:p w:rsidR="00133FD8" w:rsidRPr="00133FD8" w:rsidRDefault="00133FD8" w:rsidP="00133FD8">
      <w:pPr>
        <w:keepNext/>
        <w:keepLines/>
        <w:spacing w:before="480" w:after="0"/>
        <w:outlineLvl w:val="0"/>
        <w:rPr>
          <w:rFonts w:ascii="Cambria" w:eastAsia="Times New Roman" w:hAnsi="Cambria" w:cs="Times New Roman"/>
          <w:bCs/>
          <w:sz w:val="28"/>
          <w:szCs w:val="28"/>
          <w:lang w:val="en-GB"/>
        </w:rPr>
      </w:pPr>
      <w:bookmarkStart w:id="12" w:name="_Toc3284611"/>
      <w:r w:rsidRPr="00133FD8">
        <w:rPr>
          <w:rFonts w:ascii="Cambria" w:eastAsia="Times New Roman" w:hAnsi="Cambria" w:cs="Times New Roman"/>
          <w:bCs/>
          <w:sz w:val="28"/>
          <w:szCs w:val="28"/>
          <w:lang w:val="en-GB"/>
        </w:rPr>
        <w:lastRenderedPageBreak/>
        <w:t>Results</w:t>
      </w:r>
      <w:bookmarkEnd w:id="12"/>
    </w:p>
    <w:p w:rsidR="00133FD8" w:rsidRPr="00133FD8" w:rsidRDefault="00133FD8" w:rsidP="00133FD8">
      <w:pPr>
        <w:keepNext/>
        <w:keepLines/>
        <w:spacing w:before="200" w:after="0"/>
        <w:outlineLvl w:val="1"/>
        <w:rPr>
          <w:rFonts w:ascii="Cambria" w:eastAsia="Times New Roman" w:hAnsi="Cambria" w:cs="Times New Roman"/>
          <w:bCs/>
          <w:color w:val="4F81BD"/>
          <w:sz w:val="26"/>
          <w:szCs w:val="26"/>
          <w:lang w:val="en-GB"/>
        </w:rPr>
      </w:pPr>
      <w:bookmarkStart w:id="13" w:name="_Toc3284612"/>
      <w:r w:rsidRPr="00133FD8">
        <w:rPr>
          <w:rFonts w:ascii="Cambria" w:eastAsia="Times New Roman" w:hAnsi="Cambria" w:cs="Times New Roman"/>
          <w:bCs/>
          <w:color w:val="4F81BD"/>
          <w:sz w:val="26"/>
          <w:szCs w:val="26"/>
          <w:lang w:val="en-GB"/>
        </w:rPr>
        <w:t>Vegetation</w:t>
      </w:r>
      <w:bookmarkEnd w:id="13"/>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 relevés from both Inis Meáin and Inis Mór are shown in Table 4 and the following trends are apparent:</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There are 13 positive indicator species present in both seaweed treated and untreated areas.</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There are 4 negative indicator species present in both seaweed treated and untreated areas.</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 cover of bryophytes appears to be reduced in most of the seaweed treated plots (Fig. 4)</w:t>
      </w:r>
      <w:proofErr w:type="gramStart"/>
      <w:r w:rsidRPr="00133FD8">
        <w:rPr>
          <w:rFonts w:ascii="Times New Roman" w:eastAsia="Times New Roman" w:hAnsi="Times New Roman" w:cs="Times New Roman"/>
          <w:sz w:val="24"/>
          <w:szCs w:val="24"/>
          <w:lang w:val="en-GB" w:eastAsia="en-GB"/>
        </w:rPr>
        <w:t>,</w:t>
      </w:r>
      <w:proofErr w:type="gramEnd"/>
      <w:r w:rsidRPr="00133FD8">
        <w:rPr>
          <w:rFonts w:ascii="Times New Roman" w:eastAsia="Times New Roman" w:hAnsi="Times New Roman" w:cs="Times New Roman"/>
          <w:sz w:val="24"/>
          <w:szCs w:val="24"/>
          <w:lang w:val="en-GB" w:eastAsia="en-GB"/>
        </w:rPr>
        <w:t xml:space="preserve"> in particular </w:t>
      </w:r>
      <w:r w:rsidRPr="00133FD8">
        <w:rPr>
          <w:rFonts w:ascii="Times New Roman" w:eastAsia="Times New Roman" w:hAnsi="Times New Roman" w:cs="Times New Roman"/>
          <w:i/>
          <w:sz w:val="24"/>
          <w:szCs w:val="24"/>
          <w:lang w:val="en-GB" w:eastAsia="en-GB"/>
        </w:rPr>
        <w:t>Rhytidiadelphus squarrosus</w:t>
      </w:r>
      <w:r w:rsidRPr="00133FD8">
        <w:rPr>
          <w:rFonts w:ascii="Times New Roman" w:eastAsia="Times New Roman" w:hAnsi="Times New Roman" w:cs="Times New Roman"/>
          <w:sz w:val="24"/>
          <w:szCs w:val="24"/>
          <w:lang w:val="en-GB" w:eastAsia="en-GB"/>
        </w:rPr>
        <w:t xml:space="preserve"> and </w:t>
      </w:r>
      <w:r w:rsidRPr="00133FD8">
        <w:rPr>
          <w:rFonts w:ascii="Times New Roman" w:eastAsia="Times New Roman" w:hAnsi="Times New Roman" w:cs="Times New Roman"/>
          <w:i/>
          <w:sz w:val="24"/>
          <w:szCs w:val="24"/>
          <w:lang w:val="en-GB" w:eastAsia="en-GB"/>
        </w:rPr>
        <w:t>Scleropodium purum</w:t>
      </w:r>
      <w:r w:rsidRPr="00133FD8">
        <w:rPr>
          <w:rFonts w:ascii="Times New Roman" w:eastAsia="Times New Roman" w:hAnsi="Times New Roman" w:cs="Times New Roman"/>
          <w:sz w:val="24"/>
          <w:szCs w:val="24"/>
          <w:lang w:val="en-GB" w:eastAsia="en-GB"/>
        </w:rPr>
        <w:t xml:space="preserve"> are more abundant in the untreated areas. The exception to this is Plot3 PN2 which was an extremely eroded site has increased its cover of bryophytes within the seaweed treated plot.</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Two bryophyte species  (</w:t>
      </w:r>
      <w:r w:rsidRPr="00133FD8">
        <w:rPr>
          <w:rFonts w:ascii="Times New Roman" w:eastAsia="Times New Roman" w:hAnsi="Times New Roman" w:cs="Times New Roman"/>
          <w:i/>
          <w:sz w:val="24"/>
          <w:szCs w:val="24"/>
          <w:lang w:val="en-GB" w:eastAsia="en-GB"/>
        </w:rPr>
        <w:t>Rhytidiadelphus squarrosus</w:t>
      </w:r>
      <w:r w:rsidRPr="00133FD8">
        <w:rPr>
          <w:rFonts w:ascii="Times New Roman" w:eastAsia="Times New Roman" w:hAnsi="Times New Roman" w:cs="Times New Roman"/>
          <w:sz w:val="24"/>
          <w:szCs w:val="24"/>
          <w:lang w:val="en-GB" w:eastAsia="en-GB"/>
        </w:rPr>
        <w:t xml:space="preserve"> and </w:t>
      </w:r>
      <w:r w:rsidRPr="00133FD8">
        <w:rPr>
          <w:rFonts w:ascii="Times New Roman" w:eastAsia="Times New Roman" w:hAnsi="Times New Roman" w:cs="Times New Roman"/>
          <w:i/>
          <w:sz w:val="24"/>
          <w:szCs w:val="24"/>
          <w:lang w:val="en-GB" w:eastAsia="en-GB"/>
        </w:rPr>
        <w:t>Scleropodium purum</w:t>
      </w:r>
      <w:r w:rsidRPr="00133FD8">
        <w:rPr>
          <w:rFonts w:ascii="Times New Roman" w:eastAsia="Times New Roman" w:hAnsi="Times New Roman" w:cs="Times New Roman"/>
          <w:sz w:val="24"/>
          <w:szCs w:val="24"/>
          <w:lang w:val="en-GB" w:eastAsia="en-GB"/>
        </w:rPr>
        <w:t>) are also more abundant in the untreated areas (Table 4)</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There is an apparent increase in sedge and grass cover in seaweed treated areas in 50% of the plots (Figs 5 &amp; 6)</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There is an apparent decrease in % broadleaf cover in seaweed treated areas in 60% of the plots (Fig. 7)</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herbaceous species, </w:t>
      </w:r>
      <w:r w:rsidRPr="00133FD8">
        <w:rPr>
          <w:rFonts w:ascii="Times New Roman" w:eastAsia="Times New Roman" w:hAnsi="Times New Roman" w:cs="Times New Roman"/>
          <w:i/>
          <w:sz w:val="24"/>
          <w:szCs w:val="24"/>
          <w:lang w:val="en-GB" w:eastAsia="en-GB"/>
        </w:rPr>
        <w:t>Bellis perennis</w:t>
      </w:r>
      <w:r w:rsidRPr="00133FD8">
        <w:rPr>
          <w:rFonts w:ascii="Times New Roman" w:eastAsia="Times New Roman" w:hAnsi="Times New Roman" w:cs="Times New Roman"/>
          <w:sz w:val="24"/>
          <w:szCs w:val="24"/>
          <w:lang w:val="en-GB" w:eastAsia="en-GB"/>
        </w:rPr>
        <w:t xml:space="preserve"> and </w:t>
      </w:r>
      <w:r w:rsidRPr="00133FD8">
        <w:rPr>
          <w:rFonts w:ascii="Times New Roman" w:eastAsia="Times New Roman" w:hAnsi="Times New Roman" w:cs="Times New Roman"/>
          <w:i/>
          <w:sz w:val="24"/>
          <w:szCs w:val="24"/>
          <w:lang w:val="en-GB" w:eastAsia="en-GB"/>
        </w:rPr>
        <w:t>Stellaria media</w:t>
      </w:r>
      <w:r w:rsidRPr="00133FD8" w:rsidDel="004D43A6">
        <w:rPr>
          <w:rFonts w:ascii="Times New Roman" w:eastAsia="Times New Roman" w:hAnsi="Times New Roman" w:cs="Times New Roman"/>
          <w:sz w:val="24"/>
          <w:szCs w:val="24"/>
          <w:lang w:val="en-GB" w:eastAsia="en-GB"/>
        </w:rPr>
        <w:t xml:space="preserve"> </w:t>
      </w:r>
      <w:r w:rsidRPr="00133FD8">
        <w:rPr>
          <w:rFonts w:ascii="Times New Roman" w:eastAsia="Times New Roman" w:hAnsi="Times New Roman" w:cs="Times New Roman"/>
          <w:sz w:val="24"/>
          <w:szCs w:val="24"/>
          <w:lang w:val="en-GB" w:eastAsia="en-GB"/>
        </w:rPr>
        <w:t xml:space="preserve">appear to have a greater affinity with the relevés in seaweed treated plots than in untreated adjacent areas, however </w:t>
      </w:r>
      <w:r w:rsidRPr="00133FD8">
        <w:rPr>
          <w:rFonts w:ascii="Times New Roman" w:eastAsia="Times New Roman" w:hAnsi="Times New Roman" w:cs="Times New Roman"/>
          <w:i/>
          <w:sz w:val="24"/>
          <w:szCs w:val="24"/>
          <w:lang w:val="en-GB" w:eastAsia="en-GB"/>
        </w:rPr>
        <w:t>Stellaria media</w:t>
      </w:r>
      <w:r w:rsidRPr="00133FD8">
        <w:rPr>
          <w:rFonts w:ascii="Times New Roman" w:eastAsia="Times New Roman" w:hAnsi="Times New Roman" w:cs="Times New Roman"/>
          <w:sz w:val="24"/>
          <w:szCs w:val="24"/>
          <w:lang w:val="en-GB" w:eastAsia="en-GB"/>
        </w:rPr>
        <w:t xml:space="preserve"> only occurs in Inis Meáin machair (Table 6) and </w:t>
      </w:r>
      <w:r w:rsidRPr="00133FD8">
        <w:rPr>
          <w:rFonts w:ascii="Times New Roman" w:eastAsia="Times New Roman" w:hAnsi="Times New Roman" w:cs="Times New Roman"/>
          <w:i/>
          <w:sz w:val="24"/>
          <w:szCs w:val="24"/>
          <w:lang w:val="en-GB" w:eastAsia="en-GB"/>
        </w:rPr>
        <w:t>Bellis perennis</w:t>
      </w:r>
      <w:r w:rsidRPr="00133FD8">
        <w:rPr>
          <w:rFonts w:ascii="Times New Roman" w:eastAsia="Times New Roman" w:hAnsi="Times New Roman" w:cs="Times New Roman"/>
          <w:sz w:val="24"/>
          <w:szCs w:val="24"/>
          <w:lang w:val="en-GB" w:eastAsia="en-GB"/>
        </w:rPr>
        <w:t xml:space="preserve"> was only recorded on Inis Mór machair (Table 5).</w:t>
      </w:r>
    </w:p>
    <w:p w:rsidR="00133FD8" w:rsidRPr="00133FD8" w:rsidRDefault="00133FD8" w:rsidP="00133FD8">
      <w:pPr>
        <w:numPr>
          <w:ilvl w:val="0"/>
          <w:numId w:val="1"/>
        </w:numPr>
        <w:spacing w:after="0" w:line="240" w:lineRule="auto"/>
        <w:contextualSpacing/>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i/>
          <w:sz w:val="24"/>
          <w:szCs w:val="24"/>
          <w:lang w:val="en-GB" w:eastAsia="en-GB"/>
        </w:rPr>
        <w:t>Rumex acetosa, Leontodon autumnalis, Peltigera canina</w:t>
      </w:r>
      <w:r w:rsidRPr="00133FD8">
        <w:rPr>
          <w:rFonts w:ascii="Times New Roman" w:eastAsia="Times New Roman" w:hAnsi="Times New Roman" w:cs="Times New Roman"/>
          <w:b/>
          <w:sz w:val="24"/>
          <w:szCs w:val="24"/>
          <w:lang w:val="en-GB" w:eastAsia="en-GB"/>
        </w:rPr>
        <w:t xml:space="preserve"> </w:t>
      </w:r>
      <w:r w:rsidRPr="00133FD8">
        <w:rPr>
          <w:rFonts w:ascii="Times New Roman" w:eastAsia="Times New Roman" w:hAnsi="Times New Roman" w:cs="Times New Roman"/>
          <w:sz w:val="24"/>
          <w:szCs w:val="24"/>
          <w:lang w:val="en-GB" w:eastAsia="en-GB"/>
        </w:rPr>
        <w:t xml:space="preserve">and </w:t>
      </w:r>
      <w:r w:rsidRPr="00133FD8">
        <w:rPr>
          <w:rFonts w:ascii="Times New Roman" w:eastAsia="Times New Roman" w:hAnsi="Times New Roman" w:cs="Times New Roman"/>
          <w:i/>
          <w:sz w:val="24"/>
          <w:szCs w:val="24"/>
          <w:lang w:val="en-GB" w:eastAsia="en-GB"/>
        </w:rPr>
        <w:t>Cuscuta epithymum</w:t>
      </w:r>
      <w:r w:rsidRPr="00133FD8">
        <w:rPr>
          <w:rFonts w:ascii="Times New Roman" w:eastAsia="Times New Roman" w:hAnsi="Times New Roman" w:cs="Times New Roman"/>
          <w:b/>
          <w:sz w:val="24"/>
          <w:szCs w:val="24"/>
          <w:lang w:val="en-GB" w:eastAsia="en-GB"/>
        </w:rPr>
        <w:t xml:space="preserve"> </w:t>
      </w:r>
      <w:r w:rsidRPr="00133FD8">
        <w:rPr>
          <w:rFonts w:ascii="Times New Roman" w:eastAsia="Times New Roman" w:hAnsi="Times New Roman" w:cs="Times New Roman"/>
          <w:sz w:val="24"/>
          <w:szCs w:val="24"/>
          <w:lang w:val="en-GB" w:eastAsia="en-GB"/>
        </w:rPr>
        <w:t>appear to be more abundant in the untreated areas than in the seaweed plots (Table 4).</w:t>
      </w:r>
      <w:r w:rsidRPr="00133FD8">
        <w:rPr>
          <w:rFonts w:ascii="Times New Roman" w:eastAsia="Times New Roman" w:hAnsi="Times New Roman" w:cs="Times New Roman"/>
          <w:b/>
          <w:sz w:val="24"/>
          <w:szCs w:val="24"/>
          <w:lang w:val="en-GB" w:eastAsia="en-GB"/>
        </w:rPr>
        <w:t xml:space="preserve"> </w:t>
      </w:r>
    </w:p>
    <w:p w:rsidR="00133FD8" w:rsidRPr="00133FD8" w:rsidRDefault="00133FD8" w:rsidP="00133FD8">
      <w:pPr>
        <w:numPr>
          <w:ilvl w:val="0"/>
          <w:numId w:val="1"/>
        </w:numPr>
        <w:spacing w:after="0" w:line="240" w:lineRule="auto"/>
        <w:contextualSpacing/>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positive indicator species, </w:t>
      </w:r>
      <w:r w:rsidRPr="00133FD8">
        <w:rPr>
          <w:rFonts w:ascii="Times New Roman" w:eastAsia="Times New Roman" w:hAnsi="Times New Roman" w:cs="Times New Roman"/>
          <w:i/>
          <w:sz w:val="24"/>
          <w:szCs w:val="24"/>
          <w:lang w:val="en-GB" w:eastAsia="en-GB"/>
        </w:rPr>
        <w:t xml:space="preserve">Rhinanthus minor, </w:t>
      </w:r>
      <w:r w:rsidRPr="00133FD8">
        <w:rPr>
          <w:rFonts w:ascii="Times New Roman" w:eastAsia="Times New Roman" w:hAnsi="Times New Roman" w:cs="Times New Roman"/>
          <w:sz w:val="24"/>
          <w:szCs w:val="24"/>
          <w:lang w:val="en-GB" w:eastAsia="en-GB"/>
        </w:rPr>
        <w:t>appears to be more abundant in the untreated areas (Table 4).</w:t>
      </w:r>
    </w:p>
    <w:p w:rsidR="00133FD8" w:rsidRPr="00133FD8" w:rsidRDefault="00133FD8" w:rsidP="00133FD8">
      <w:pPr>
        <w:spacing w:after="0" w:line="240" w:lineRule="auto"/>
        <w:rPr>
          <w:rFonts w:ascii="Calibri" w:eastAsia="Times New Roman" w:hAnsi="Calibri" w:cs="Times New Roman"/>
          <w:noProof/>
          <w:color w:val="000000"/>
          <w:sz w:val="24"/>
          <w:szCs w:val="24"/>
          <w:lang w:val="en-GB" w:eastAsia="en-GB"/>
        </w:rPr>
      </w:pPr>
    </w:p>
    <w:p w:rsidR="00133FD8" w:rsidRPr="00133FD8" w:rsidRDefault="00133FD8" w:rsidP="00133FD8">
      <w:pPr>
        <w:spacing w:after="0" w:line="240" w:lineRule="auto"/>
        <w:rPr>
          <w:rFonts w:ascii="Calibri" w:eastAsia="Times New Roman" w:hAnsi="Calibri" w:cs="Times New Roman"/>
          <w:color w:val="000000"/>
          <w:sz w:val="24"/>
          <w:szCs w:val="24"/>
          <w:lang w:val="en-GB" w:eastAsia="en-GB"/>
        </w:rPr>
      </w:pPr>
    </w:p>
    <w:p w:rsidR="00133FD8" w:rsidRPr="00133FD8" w:rsidRDefault="00133FD8" w:rsidP="00133FD8">
      <w:pPr>
        <w:spacing w:after="0" w:line="240" w:lineRule="auto"/>
        <w:jc w:val="both"/>
        <w:rPr>
          <w:rFonts w:ascii="Calibri" w:eastAsia="Times New Roman" w:hAnsi="Calibri" w:cs="Times New Roman"/>
          <w:noProof/>
          <w:color w:val="000000"/>
          <w:sz w:val="24"/>
          <w:szCs w:val="24"/>
          <w:lang w:val="en-GB" w:eastAsia="en-GB"/>
        </w:rPr>
      </w:pPr>
      <w:r w:rsidRPr="00133FD8">
        <w:rPr>
          <w:rFonts w:ascii="Calibri" w:eastAsia="Times New Roman" w:hAnsi="Calibri" w:cs="Times New Roman"/>
          <w:color w:val="000000"/>
          <w:sz w:val="24"/>
          <w:szCs w:val="24"/>
          <w:lang w:val="en-GB" w:eastAsia="en-GB"/>
        </w:rPr>
        <w:t>A Bray Curtis ordination was performed on the seaweed and no-seaweed plot relevés (27) along with the other machair relevés that were recorded during the project monitoring programme ) (17 other machair releves, 44 in total) (Fig 2). This ordination was performed to see if there were any outliers and to see if the seaweed/no seaweed relevés varied greatly from the other machair relevés</w:t>
      </w:r>
      <w:proofErr w:type="gramStart"/>
      <w:r w:rsidRPr="00133FD8">
        <w:rPr>
          <w:rFonts w:ascii="Calibri" w:eastAsia="Times New Roman" w:hAnsi="Calibri" w:cs="Times New Roman"/>
          <w:color w:val="000000"/>
          <w:sz w:val="24"/>
          <w:szCs w:val="24"/>
          <w:lang w:val="en-GB" w:eastAsia="en-GB"/>
        </w:rPr>
        <w:t>..</w:t>
      </w:r>
      <w:proofErr w:type="gramEnd"/>
      <w:r w:rsidRPr="00133FD8">
        <w:rPr>
          <w:rFonts w:ascii="Calibri" w:eastAsia="Times New Roman" w:hAnsi="Calibri" w:cs="Times New Roman"/>
          <w:color w:val="000000"/>
          <w:sz w:val="24"/>
          <w:szCs w:val="24"/>
          <w:lang w:val="en-GB" w:eastAsia="en-GB"/>
        </w:rPr>
        <w:t xml:space="preserve"> </w:t>
      </w:r>
      <w:r w:rsidRPr="00133FD8">
        <w:rPr>
          <w:rFonts w:ascii="Calibri" w:eastAsia="Times New Roman" w:hAnsi="Calibri" w:cs="Times New Roman"/>
          <w:noProof/>
          <w:color w:val="000000"/>
          <w:sz w:val="24"/>
          <w:szCs w:val="24"/>
          <w:lang w:val="en-GB" w:eastAsia="en-GB"/>
        </w:rPr>
        <w:t>The results of this ordination show that both treated and untreated relevés are distributed along both axes of the ordination</w:t>
      </w:r>
      <w:r w:rsidRPr="00133FD8">
        <w:rPr>
          <w:rFonts w:ascii="Calibri" w:eastAsia="Times New Roman" w:hAnsi="Calibri" w:cs="Times New Roman"/>
          <w:color w:val="000000"/>
          <w:sz w:val="24"/>
          <w:szCs w:val="24"/>
          <w:lang w:val="en-GB" w:eastAsia="en-GB"/>
        </w:rPr>
        <w:t xml:space="preserve"> (Fig 2)</w:t>
      </w:r>
      <w:r w:rsidRPr="00133FD8">
        <w:rPr>
          <w:rFonts w:ascii="Calibri" w:eastAsia="Times New Roman" w:hAnsi="Calibri" w:cs="Times New Roman"/>
          <w:noProof/>
          <w:color w:val="000000"/>
          <w:sz w:val="24"/>
          <w:szCs w:val="24"/>
          <w:lang w:val="en-GB" w:eastAsia="en-GB"/>
        </w:rPr>
        <w:t>. There are a few outliers that are from untreated and treated areas aswell as else where within the overall machair habitat.</w:t>
      </w:r>
    </w:p>
    <w:p w:rsidR="00133FD8" w:rsidRPr="00133FD8" w:rsidRDefault="00133FD8" w:rsidP="00133FD8">
      <w:pPr>
        <w:spacing w:after="0" w:line="240" w:lineRule="auto"/>
        <w:rPr>
          <w:rFonts w:ascii="Calibri" w:eastAsia="Times New Roman" w:hAnsi="Calibri" w:cs="Times New Roman"/>
          <w:noProof/>
          <w:color w:val="000000"/>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When relevés are grouped together according to plot there appears to be a trend in that the relevés from the treated plots occur at a higher level on Axis 2 than those from untreated areas (Fig 3.)</w:t>
      </w:r>
    </w:p>
    <w:p w:rsidR="00133FD8" w:rsidRPr="00133FD8" w:rsidRDefault="00133FD8" w:rsidP="00133FD8">
      <w:pPr>
        <w:spacing w:after="0" w:line="240" w:lineRule="auto"/>
        <w:rPr>
          <w:rFonts w:ascii="Calibri" w:eastAsia="Times New Roman" w:hAnsi="Calibri" w:cs="Times New Roman"/>
          <w:noProof/>
          <w:color w:val="000000"/>
          <w:sz w:val="24"/>
          <w:szCs w:val="24"/>
          <w:lang w:val="en-GB" w:eastAsia="en-GB"/>
        </w:rPr>
      </w:pPr>
    </w:p>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noProof/>
          <w:color w:val="000000"/>
          <w:sz w:val="24"/>
          <w:szCs w:val="24"/>
          <w:lang w:val="en-GB" w:eastAsia="en-GB"/>
        </w:rPr>
        <w:lastRenderedPageBreak/>
        <w:drawing>
          <wp:inline distT="0" distB="0" distL="0" distR="0" wp14:anchorId="27C206C9" wp14:editId="598B2223">
            <wp:extent cx="4074667" cy="3423805"/>
            <wp:effectExtent l="0" t="0" r="254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1428" cy="3429486"/>
                    </a:xfrm>
                    <a:prstGeom prst="rect">
                      <a:avLst/>
                    </a:prstGeom>
                    <a:noFill/>
                    <a:ln>
                      <a:noFill/>
                    </a:ln>
                  </pic:spPr>
                </pic:pic>
              </a:graphicData>
            </a:graphic>
          </wp:inline>
        </w:drawing>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Fig 2.</w:t>
      </w:r>
      <w:proofErr w:type="gramEnd"/>
      <w:r w:rsidRPr="00133FD8">
        <w:rPr>
          <w:rFonts w:ascii="Times New Roman" w:eastAsia="Times New Roman" w:hAnsi="Times New Roman" w:cs="Times New Roman"/>
          <w:sz w:val="24"/>
          <w:szCs w:val="24"/>
          <w:lang w:val="en-GB" w:eastAsia="en-GB"/>
        </w:rPr>
        <w:t xml:space="preserve"> Bray Curtis ordination of </w:t>
      </w:r>
      <w:proofErr w:type="gramStart"/>
      <w:r w:rsidRPr="00133FD8">
        <w:rPr>
          <w:rFonts w:ascii="Times New Roman" w:eastAsia="Times New Roman" w:hAnsi="Times New Roman" w:cs="Times New Roman"/>
          <w:sz w:val="24"/>
          <w:szCs w:val="24"/>
          <w:lang w:val="en-GB" w:eastAsia="en-GB"/>
        </w:rPr>
        <w:t>seaweed(</w:t>
      </w:r>
      <w:proofErr w:type="gramEnd"/>
      <w:r w:rsidRPr="00133FD8">
        <w:rPr>
          <w:rFonts w:ascii="Times New Roman" w:eastAsia="Times New Roman" w:hAnsi="Times New Roman" w:cs="Times New Roman"/>
          <w:sz w:val="24"/>
          <w:szCs w:val="24"/>
          <w:lang w:val="en-GB" w:eastAsia="en-GB"/>
        </w:rPr>
        <w:t xml:space="preserve"> green triangles) and no seaweed (yellow triangles) relevés plotted alongside other machair relevés (white triangles) on Inis Mór and Inis Meáin. </w:t>
      </w:r>
    </w:p>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53CD211F" wp14:editId="7F7C8C0F">
            <wp:extent cx="3881005" cy="3246583"/>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90248" cy="3254315"/>
                    </a:xfrm>
                    <a:prstGeom prst="rect">
                      <a:avLst/>
                    </a:prstGeom>
                    <a:noFill/>
                    <a:ln>
                      <a:noFill/>
                    </a:ln>
                  </pic:spPr>
                </pic:pic>
              </a:graphicData>
            </a:graphic>
          </wp:inline>
        </w:drawing>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Fig.3. Bray Curtis diagram of the machair releveés.</w:t>
      </w:r>
      <w:proofErr w:type="gramEnd"/>
      <w:r w:rsidRPr="00133FD8">
        <w:rPr>
          <w:rFonts w:ascii="Times New Roman" w:eastAsia="Times New Roman" w:hAnsi="Times New Roman" w:cs="Times New Roman"/>
          <w:sz w:val="24"/>
          <w:szCs w:val="24"/>
          <w:lang w:val="en-GB" w:eastAsia="en-GB"/>
        </w:rPr>
        <w:t xml:space="preserve"> Relevés in seaweed plots (green triangles) and in adjacent untreated areas (yellow triangles) are grouped together in their respective plots.</w:t>
      </w:r>
    </w:p>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br w:type="page"/>
      </w:r>
      <w:r w:rsidRPr="00133FD8">
        <w:rPr>
          <w:rFonts w:ascii="Times New Roman" w:eastAsia="Times New Roman" w:hAnsi="Times New Roman" w:cs="Times New Roman"/>
          <w:noProof/>
          <w:sz w:val="24"/>
          <w:szCs w:val="24"/>
          <w:lang w:val="en-GB" w:eastAsia="en-GB"/>
        </w:rPr>
        <w:lastRenderedPageBreak/>
        <w:drawing>
          <wp:inline distT="0" distB="0" distL="0" distR="0" wp14:anchorId="547F932B" wp14:editId="3D3DB169">
            <wp:extent cx="4885508" cy="2468880"/>
            <wp:effectExtent l="0" t="0" r="10795" b="2667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Fig.4. Average </w:t>
      </w:r>
      <w:proofErr w:type="gramStart"/>
      <w:r w:rsidRPr="00133FD8">
        <w:rPr>
          <w:rFonts w:ascii="Times New Roman" w:eastAsia="Times New Roman" w:hAnsi="Times New Roman" w:cs="Times New Roman"/>
          <w:sz w:val="24"/>
          <w:szCs w:val="24"/>
          <w:lang w:val="en-GB" w:eastAsia="en-GB"/>
        </w:rPr>
        <w:t>percentage cover</w:t>
      </w:r>
      <w:proofErr w:type="gramEnd"/>
      <w:r w:rsidRPr="00133FD8">
        <w:rPr>
          <w:rFonts w:ascii="Times New Roman" w:eastAsia="Times New Roman" w:hAnsi="Times New Roman" w:cs="Times New Roman"/>
          <w:sz w:val="24"/>
          <w:szCs w:val="24"/>
          <w:lang w:val="en-GB" w:eastAsia="en-GB"/>
        </w:rPr>
        <w:t xml:space="preserve"> of bryophytes in seaweed treatment plots and in adjacent untreated plots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 cover of bryophytes appears to be reduced in most of the seaweed treated plots (Fig. 4). The exception to this is Plot3 PN2 which was an extremely eroded site has increased its cover of bryophytes within the seaweed treated plot.</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There is an apparent increase in sedge and grass cover in seaweed treated areas in 50% of the plots (Figs 5 &amp; 6)</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733F45BF" wp14:editId="5D6395EA">
            <wp:extent cx="4885509" cy="2913018"/>
            <wp:effectExtent l="0" t="0" r="10795" b="2095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Fig.5. Average percentage cover of sedges within seaweed treated (red) and untreated areas (blue)</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sectPr w:rsidR="00133FD8" w:rsidRPr="00133FD8" w:rsidSect="001C25CC">
          <w:pgSz w:w="11906" w:h="16838"/>
          <w:pgMar w:top="1440" w:right="1440" w:bottom="1440" w:left="1440" w:header="708" w:footer="708" w:gutter="0"/>
          <w:cols w:space="708"/>
          <w:docGrid w:linePitch="360"/>
        </w:sectPr>
      </w:pPr>
    </w:p>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noProof/>
          <w:sz w:val="24"/>
          <w:szCs w:val="24"/>
          <w:lang w:val="en-GB" w:eastAsia="en-GB"/>
        </w:rPr>
        <w:lastRenderedPageBreak/>
        <w:drawing>
          <wp:inline distT="0" distB="0" distL="0" distR="0" wp14:anchorId="4CC50BD1" wp14:editId="3E632179">
            <wp:extent cx="4767943" cy="2965269"/>
            <wp:effectExtent l="0" t="0" r="13970" b="2603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Fig. 6.</w:t>
      </w:r>
      <w:proofErr w:type="gramEnd"/>
      <w:r w:rsidRPr="00133FD8">
        <w:rPr>
          <w:rFonts w:ascii="Times New Roman" w:eastAsia="Times New Roman" w:hAnsi="Times New Roman" w:cs="Times New Roman"/>
          <w:sz w:val="24"/>
          <w:szCs w:val="24"/>
          <w:lang w:val="en-GB" w:eastAsia="en-GB"/>
        </w:rPr>
        <w:t xml:space="preserve"> Average percentage cover of grass within seaweed treated (red) and untreated areas (blue)</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There is an apparent decrease in % broadleaf cover in seaweed treated areas in 60% of the plots (Fig. 7).</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034E4064" wp14:editId="6C08FDAA">
            <wp:extent cx="4519748" cy="2677886"/>
            <wp:effectExtent l="0" t="0" r="14605" b="2730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Fig. 7.</w:t>
      </w:r>
      <w:proofErr w:type="gramEnd"/>
      <w:r w:rsidRPr="00133FD8">
        <w:rPr>
          <w:rFonts w:ascii="Times New Roman" w:eastAsia="Times New Roman" w:hAnsi="Times New Roman" w:cs="Times New Roman"/>
          <w:sz w:val="24"/>
          <w:szCs w:val="24"/>
          <w:lang w:val="en-GB" w:eastAsia="en-GB"/>
        </w:rPr>
        <w:t xml:space="preserve"> Average percentage cover of broadleaves within seaweed treated (red) and untreated areas (blue)</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sectPr w:rsidR="00133FD8" w:rsidRPr="00133FD8" w:rsidSect="001C25CC">
          <w:pgSz w:w="11906" w:h="16838"/>
          <w:pgMar w:top="1440" w:right="1440" w:bottom="1440" w:left="1440" w:header="708" w:footer="708" w:gutter="0"/>
          <w:cols w:space="708"/>
          <w:docGrid w:linePitch="360"/>
        </w:sectPr>
      </w:pPr>
    </w:p>
    <w:p w:rsidR="00133FD8" w:rsidRPr="00133FD8" w:rsidRDefault="00133FD8" w:rsidP="00133FD8">
      <w:pPr>
        <w:spacing w:after="0" w:line="240" w:lineRule="auto"/>
        <w:jc w:val="both"/>
        <w:rPr>
          <w:rFonts w:ascii="Times New Roman" w:eastAsia="Times New Roman" w:hAnsi="Times New Roman" w:cs="Times New Roman"/>
          <w:b/>
          <w:sz w:val="24"/>
          <w:szCs w:val="24"/>
          <w:lang w:val="en-GB" w:eastAsia="en-GB"/>
        </w:rPr>
      </w:pPr>
      <w:proofErr w:type="gramStart"/>
      <w:r w:rsidRPr="00133FD8">
        <w:rPr>
          <w:rFonts w:ascii="Times New Roman" w:eastAsia="Times New Roman" w:hAnsi="Times New Roman" w:cs="Times New Roman"/>
          <w:b/>
          <w:sz w:val="24"/>
          <w:szCs w:val="24"/>
          <w:lang w:val="en-GB" w:eastAsia="en-GB"/>
        </w:rPr>
        <w:lastRenderedPageBreak/>
        <w:t>Table 4.</w:t>
      </w:r>
      <w:proofErr w:type="gramEnd"/>
      <w:r w:rsidRPr="00133FD8">
        <w:rPr>
          <w:rFonts w:ascii="Times New Roman" w:eastAsia="Times New Roman" w:hAnsi="Times New Roman" w:cs="Times New Roman"/>
          <w:b/>
          <w:sz w:val="24"/>
          <w:szCs w:val="24"/>
          <w:lang w:val="en-GB" w:eastAsia="en-GB"/>
        </w:rPr>
        <w:t xml:space="preserve"> Relevés within seaweed plots (green) and in adjacent untreated plots (yellow). The cover/abundance of species is given in the Domin scale. Dry Matter Yield t/ha for seaweed and untreated plots is also given. % bare ground, %bryophytes, %grass, %sedge and % broadleaved cover per relevé is also presented. Median herb and grass height was recorded for each relevé and is presented below as is the total number of species per relevé. </w:t>
      </w:r>
    </w:p>
    <w:tbl>
      <w:tblPr>
        <w:tblW w:w="14071" w:type="dxa"/>
        <w:tblInd w:w="103" w:type="dxa"/>
        <w:tblLook w:val="04A0" w:firstRow="1" w:lastRow="0" w:firstColumn="1" w:lastColumn="0" w:noHBand="0" w:noVBand="1"/>
      </w:tblPr>
      <w:tblGrid>
        <w:gridCol w:w="2363"/>
        <w:gridCol w:w="458"/>
        <w:gridCol w:w="458"/>
        <w:gridCol w:w="421"/>
        <w:gridCol w:w="421"/>
        <w:gridCol w:w="421"/>
        <w:gridCol w:w="500"/>
        <w:gridCol w:w="421"/>
        <w:gridCol w:w="421"/>
        <w:gridCol w:w="421"/>
        <w:gridCol w:w="421"/>
        <w:gridCol w:w="421"/>
        <w:gridCol w:w="421"/>
        <w:gridCol w:w="573"/>
        <w:gridCol w:w="70"/>
        <w:gridCol w:w="350"/>
        <w:gridCol w:w="421"/>
        <w:gridCol w:w="421"/>
        <w:gridCol w:w="421"/>
        <w:gridCol w:w="421"/>
        <w:gridCol w:w="458"/>
        <w:gridCol w:w="421"/>
        <w:gridCol w:w="421"/>
        <w:gridCol w:w="421"/>
        <w:gridCol w:w="421"/>
        <w:gridCol w:w="421"/>
        <w:gridCol w:w="421"/>
        <w:gridCol w:w="421"/>
        <w:gridCol w:w="410"/>
        <w:gridCol w:w="11"/>
      </w:tblGrid>
      <w:tr w:rsidR="00133FD8" w:rsidRPr="00133FD8" w:rsidTr="001C25CC">
        <w:trPr>
          <w:gridAfter w:val="1"/>
          <w:wAfter w:w="15" w:type="dxa"/>
          <w:trHeight w:val="300"/>
        </w:trPr>
        <w:tc>
          <w:tcPr>
            <w:tcW w:w="2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842" w:type="dxa"/>
            <w:gridSpan w:val="14"/>
            <w:tcBorders>
              <w:top w:val="single" w:sz="4" w:space="0" w:color="auto"/>
              <w:left w:val="nil"/>
              <w:bottom w:val="single" w:sz="4" w:space="0" w:color="auto"/>
              <w:right w:val="single" w:sz="4" w:space="0" w:color="000000"/>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Seaweed</w:t>
            </w:r>
          </w:p>
        </w:tc>
        <w:tc>
          <w:tcPr>
            <w:tcW w:w="5829" w:type="dxa"/>
            <w:gridSpan w:val="14"/>
            <w:tcBorders>
              <w:top w:val="single" w:sz="4" w:space="0" w:color="auto"/>
              <w:left w:val="nil"/>
              <w:bottom w:val="single" w:sz="4" w:space="0" w:color="auto"/>
              <w:right w:val="single" w:sz="4" w:space="0" w:color="000000"/>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No Seaweed</w:t>
            </w:r>
          </w:p>
        </w:tc>
      </w:tr>
      <w:tr w:rsidR="00133FD8" w:rsidRPr="00133FD8" w:rsidTr="001C25CC">
        <w:trPr>
          <w:cantSplit/>
          <w:trHeight w:val="725"/>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Relevés</w:t>
            </w:r>
          </w:p>
        </w:tc>
        <w:tc>
          <w:tcPr>
            <w:tcW w:w="458"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R19IMN</w:t>
            </w:r>
          </w:p>
        </w:tc>
        <w:tc>
          <w:tcPr>
            <w:tcW w:w="458"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R20IMN</w:t>
            </w:r>
          </w:p>
        </w:tc>
        <w:tc>
          <w:tcPr>
            <w:tcW w:w="421"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R28IMN</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R29IMN</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R33IMN</w:t>
            </w:r>
          </w:p>
        </w:tc>
        <w:tc>
          <w:tcPr>
            <w:tcW w:w="499"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R35IMN</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R54IMN</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R34IMR</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R35IMR</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R38IMR</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R39IMR</w:t>
            </w:r>
          </w:p>
        </w:tc>
        <w:tc>
          <w:tcPr>
            <w:tcW w:w="42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R42IMR</w:t>
            </w:r>
          </w:p>
        </w:tc>
        <w:tc>
          <w:tcPr>
            <w:tcW w:w="577"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R43IMR</w:t>
            </w:r>
          </w:p>
        </w:tc>
        <w:tc>
          <w:tcPr>
            <w:tcW w:w="420" w:type="dxa"/>
            <w:gridSpan w:val="2"/>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R21IMN</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R22IMN</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R32IMN</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R34IMN</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R30IMN</w:t>
            </w:r>
          </w:p>
        </w:tc>
        <w:tc>
          <w:tcPr>
            <w:tcW w:w="457"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R31IMN</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R14IMN*</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R59IMN</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R33IMR</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R36IMR</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R37IMR</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R40IMR</w:t>
            </w:r>
          </w:p>
        </w:tc>
        <w:tc>
          <w:tcPr>
            <w:tcW w:w="42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R41IMR</w:t>
            </w:r>
          </w:p>
        </w:tc>
        <w:tc>
          <w:tcPr>
            <w:tcW w:w="416" w:type="dxa"/>
            <w:gridSpan w:val="2"/>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R44IMR</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Dry Matter Yield (t)/ha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3.5</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0.7</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0.09</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0.8</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0.6</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0.3</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1.3</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0.9</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0.9</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0.9</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1.3</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0.6</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bare ground</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grass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100</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100</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35</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sedge</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&lt;1</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broadleaves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45</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12</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35</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bryophytes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25</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65</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Median grass height cm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Median herb height cm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Soil depth range cm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25+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11 25+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8 20</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25+</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25+</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11 25+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25+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25+</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2"/>
                <w:szCs w:val="12"/>
                <w:lang w:val="en-GB" w:eastAsia="en-GB"/>
              </w:rPr>
            </w:pPr>
            <w:r w:rsidRPr="00133FD8">
              <w:rPr>
                <w:rFonts w:ascii="Calibri" w:eastAsia="Times New Roman" w:hAnsi="Calibri" w:cs="Times New Roman"/>
                <w:b/>
                <w:bCs/>
                <w:color w:val="000000"/>
                <w:sz w:val="12"/>
                <w:szCs w:val="12"/>
                <w:lang w:val="en-GB" w:eastAsia="en-GB"/>
              </w:rPr>
              <w:t>11 25+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Total species no.</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23</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19</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19</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23</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26</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22</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19</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23</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nil"/>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nil"/>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Stellaria media</w:t>
            </w:r>
          </w:p>
        </w:tc>
        <w:tc>
          <w:tcPr>
            <w:tcW w:w="458" w:type="dxa"/>
            <w:tcBorders>
              <w:top w:val="single" w:sz="8" w:space="0" w:color="auto"/>
              <w:left w:val="single" w:sz="8"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99"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single" w:sz="8" w:space="0" w:color="auto"/>
              <w:left w:val="nil"/>
              <w:bottom w:val="single" w:sz="4" w:space="0" w:color="auto"/>
              <w:right w:val="single" w:sz="8"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nil"/>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Bellis perennis</w:t>
            </w:r>
          </w:p>
        </w:tc>
        <w:tc>
          <w:tcPr>
            <w:tcW w:w="458" w:type="dxa"/>
            <w:tcBorders>
              <w:top w:val="nil"/>
              <w:left w:val="single" w:sz="8" w:space="0" w:color="auto"/>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8" w:space="0" w:color="auto"/>
              <w:right w:val="single" w:sz="8"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gridSpan w:val="2"/>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nil"/>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Rhytidiadelphus squarrosus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577" w:type="dxa"/>
            <w:tcBorders>
              <w:top w:val="nil"/>
              <w:left w:val="nil"/>
              <w:bottom w:val="single" w:sz="4" w:space="0" w:color="auto"/>
              <w:right w:val="nil"/>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0" w:type="dxa"/>
            <w:gridSpan w:val="2"/>
            <w:tcBorders>
              <w:top w:val="single" w:sz="8" w:space="0" w:color="auto"/>
              <w:left w:val="single" w:sz="8"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57"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single" w:sz="8"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16" w:type="dxa"/>
            <w:gridSpan w:val="2"/>
            <w:tcBorders>
              <w:top w:val="single" w:sz="8" w:space="0" w:color="auto"/>
              <w:left w:val="nil"/>
              <w:bottom w:val="single" w:sz="4" w:space="0" w:color="auto"/>
              <w:right w:val="single" w:sz="8"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Scleropodium purum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nil"/>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single" w:sz="8"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16" w:type="dxa"/>
            <w:gridSpan w:val="2"/>
            <w:tcBorders>
              <w:top w:val="nil"/>
              <w:left w:val="nil"/>
              <w:bottom w:val="single" w:sz="4" w:space="0" w:color="auto"/>
              <w:right w:val="single" w:sz="8"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Rhinanthus minor</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577" w:type="dxa"/>
            <w:tcBorders>
              <w:top w:val="nil"/>
              <w:left w:val="nil"/>
              <w:bottom w:val="single" w:sz="4" w:space="0" w:color="auto"/>
              <w:right w:val="nil"/>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gridSpan w:val="2"/>
            <w:tcBorders>
              <w:top w:val="nil"/>
              <w:left w:val="single" w:sz="8"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16" w:type="dxa"/>
            <w:gridSpan w:val="2"/>
            <w:tcBorders>
              <w:top w:val="nil"/>
              <w:left w:val="nil"/>
              <w:bottom w:val="single" w:sz="4" w:space="0" w:color="auto"/>
              <w:right w:val="single" w:sz="8"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Rumex acetosa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nil"/>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single" w:sz="8"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16" w:type="dxa"/>
            <w:gridSpan w:val="2"/>
            <w:tcBorders>
              <w:top w:val="nil"/>
              <w:left w:val="nil"/>
              <w:bottom w:val="single" w:sz="4" w:space="0" w:color="auto"/>
              <w:right w:val="single" w:sz="8"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Peltigera canina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nil"/>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single" w:sz="8"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16" w:type="dxa"/>
            <w:gridSpan w:val="2"/>
            <w:tcBorders>
              <w:top w:val="nil"/>
              <w:left w:val="nil"/>
              <w:bottom w:val="single" w:sz="4" w:space="0" w:color="auto"/>
              <w:right w:val="single" w:sz="8"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Leontodon autumnalis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nil"/>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single" w:sz="8"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8"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Cuscuta epithymum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577" w:type="dxa"/>
            <w:tcBorders>
              <w:top w:val="nil"/>
              <w:left w:val="nil"/>
              <w:bottom w:val="single" w:sz="4" w:space="0" w:color="auto"/>
              <w:right w:val="nil"/>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single" w:sz="8" w:space="0" w:color="auto"/>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8"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16" w:type="dxa"/>
            <w:gridSpan w:val="2"/>
            <w:tcBorders>
              <w:top w:val="nil"/>
              <w:left w:val="nil"/>
              <w:bottom w:val="single" w:sz="8" w:space="0" w:color="auto"/>
              <w:right w:val="single" w:sz="8"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Festuca rubra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Asperula cynanchica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Galium verum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Trifolium repens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Lotus corniculatus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Plantago lanceolata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Cerastium fontanum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Luzula campestris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lastRenderedPageBreak/>
              <w:t>Hypochaeris radicata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Trifolium dubium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Carex arenaria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Calliergonella cuspidatum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Senecio jacobaea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Homalaothesium lutescens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000000" w:fill="FFFFFF"/>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Agrostis stolonifera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Dactylis glomerata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Anagallis arvensis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Arrhenatherum elatius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8</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8</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8</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Carex flacca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Poa pratensis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Ranunculus bulbosus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Veronica chamaedrys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Viola tricolor</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Campanula rotundifolia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Euphrasia officinalis agg.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Ranunculus repens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Anthylis vulneraria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Cerastium glomeratum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Pillosella officinarum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Sedum acre</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Syntrichia ruralis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Blackstonia perfoliata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Daucus carota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Leontodon taraxacoides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Sagina nodosa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Dicranum scoparium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Centaurium erythraea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Linum catharticum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000000" w:fill="FFFFFF"/>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Agrostis capillaris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000000" w:fill="FFFFFF"/>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Aira praecox</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Carex spp</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Lolium perenne</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5</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Phleum pratensis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Crepis capillaris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Viol sp.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Holcus lanatus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Poa annua</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Geranium molle</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Taraxacum officinale</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Homalothesium sericeum</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Hylocomium splendens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cantSplit/>
          <w:trHeight w:val="20"/>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lastRenderedPageBreak/>
              <w:t>Rhytidiadelphus triquetrus</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1"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99"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577"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57"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16"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bl>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p>
    <w:p w:rsidR="00133FD8" w:rsidRPr="00133FD8" w:rsidRDefault="00133FD8" w:rsidP="00133FD8">
      <w:pPr>
        <w:spacing w:after="0" w:line="240" w:lineRule="auto"/>
        <w:ind w:left="1440"/>
        <w:rPr>
          <w:rFonts w:ascii="Times New Roman" w:eastAsia="Times New Roman" w:hAnsi="Times New Roman" w:cs="Times New Roman"/>
          <w:i/>
          <w:sz w:val="24"/>
          <w:szCs w:val="24"/>
          <w:lang w:val="en-GB" w:eastAsia="en-GB"/>
        </w:rPr>
      </w:pPr>
      <w:r w:rsidRPr="00133FD8">
        <w:rPr>
          <w:rFonts w:ascii="Times New Roman" w:eastAsia="Times New Roman" w:hAnsi="Times New Roman" w:cs="Times New Roman"/>
          <w:sz w:val="24"/>
          <w:szCs w:val="24"/>
          <w:lang w:val="en-GB" w:eastAsia="en-GB"/>
        </w:rPr>
        <w:t xml:space="preserve">Species that were only recorded in one relevé: </w:t>
      </w:r>
      <w:r w:rsidRPr="00133FD8">
        <w:rPr>
          <w:rFonts w:ascii="Calibri" w:eastAsia="Times New Roman" w:hAnsi="Calibri" w:cs="Times New Roman"/>
          <w:i/>
          <w:color w:val="000000"/>
          <w:sz w:val="16"/>
          <w:szCs w:val="16"/>
          <w:lang w:val="en-GB" w:eastAsia="en-GB"/>
        </w:rPr>
        <w:t>Chenopodium album, Geranium sanguineum</w:t>
      </w:r>
      <w:r w:rsidRPr="00133FD8">
        <w:rPr>
          <w:rFonts w:ascii="Calibri" w:eastAsia="Times New Roman" w:hAnsi="Calibri" w:cs="Times New Roman"/>
          <w:color w:val="000000"/>
          <w:sz w:val="16"/>
          <w:szCs w:val="16"/>
          <w:lang w:val="en-GB" w:eastAsia="en-GB"/>
        </w:rPr>
        <w:t xml:space="preserve"> (R19IMN), </w:t>
      </w:r>
      <w:r w:rsidRPr="00133FD8">
        <w:rPr>
          <w:rFonts w:ascii="Calibri" w:eastAsia="Times New Roman" w:hAnsi="Calibri" w:cs="Times New Roman"/>
          <w:i/>
          <w:color w:val="000000"/>
          <w:sz w:val="16"/>
          <w:szCs w:val="16"/>
          <w:lang w:val="en-GB" w:eastAsia="en-GB"/>
        </w:rPr>
        <w:t>Galium saxatile, Galium</w:t>
      </w:r>
      <w:r w:rsidRPr="00133FD8">
        <w:rPr>
          <w:rFonts w:ascii="Calibri" w:eastAsia="Times New Roman" w:hAnsi="Calibri" w:cs="Times New Roman"/>
          <w:color w:val="000000"/>
          <w:sz w:val="16"/>
          <w:szCs w:val="16"/>
          <w:lang w:val="en-GB" w:eastAsia="en-GB"/>
        </w:rPr>
        <w:t xml:space="preserve"> spp (R20IMN); </w:t>
      </w:r>
      <w:r w:rsidRPr="00133FD8">
        <w:rPr>
          <w:rFonts w:ascii="Calibri" w:eastAsia="Times New Roman" w:hAnsi="Calibri" w:cs="Times New Roman"/>
          <w:i/>
          <w:color w:val="000000"/>
          <w:sz w:val="16"/>
          <w:szCs w:val="16"/>
          <w:lang w:val="en-GB" w:eastAsia="en-GB"/>
        </w:rPr>
        <w:t>Agrostis</w:t>
      </w:r>
      <w:r w:rsidRPr="00133FD8">
        <w:rPr>
          <w:rFonts w:ascii="Calibri" w:eastAsia="Times New Roman" w:hAnsi="Calibri" w:cs="Times New Roman"/>
          <w:color w:val="000000"/>
          <w:sz w:val="16"/>
          <w:szCs w:val="16"/>
          <w:lang w:val="en-GB" w:eastAsia="en-GB"/>
        </w:rPr>
        <w:t xml:space="preserve"> spp, </w:t>
      </w:r>
      <w:r w:rsidRPr="00133FD8">
        <w:rPr>
          <w:rFonts w:ascii="Calibri" w:eastAsia="Times New Roman" w:hAnsi="Calibri" w:cs="Times New Roman"/>
          <w:i/>
          <w:color w:val="000000"/>
          <w:sz w:val="16"/>
          <w:szCs w:val="16"/>
          <w:lang w:val="en-GB" w:eastAsia="en-GB"/>
        </w:rPr>
        <w:t>Thymus polytrichus</w:t>
      </w:r>
      <w:r w:rsidRPr="00133FD8">
        <w:rPr>
          <w:rFonts w:ascii="Calibri" w:eastAsia="Times New Roman" w:hAnsi="Calibri" w:cs="Times New Roman"/>
          <w:color w:val="000000"/>
          <w:sz w:val="16"/>
          <w:szCs w:val="16"/>
          <w:lang w:val="en-GB" w:eastAsia="en-GB"/>
        </w:rPr>
        <w:t xml:space="preserve"> (R28IMN); </w:t>
      </w:r>
      <w:r w:rsidRPr="00133FD8">
        <w:rPr>
          <w:rFonts w:ascii="Calibri" w:eastAsia="Times New Roman" w:hAnsi="Calibri" w:cs="Times New Roman"/>
          <w:i/>
          <w:color w:val="000000"/>
          <w:sz w:val="16"/>
          <w:szCs w:val="16"/>
          <w:lang w:val="en-GB" w:eastAsia="en-GB"/>
        </w:rPr>
        <w:t>Cladonia</w:t>
      </w:r>
      <w:r w:rsidRPr="00133FD8">
        <w:rPr>
          <w:rFonts w:ascii="Calibri" w:eastAsia="Times New Roman" w:hAnsi="Calibri" w:cs="Times New Roman"/>
          <w:color w:val="000000"/>
          <w:sz w:val="16"/>
          <w:szCs w:val="16"/>
          <w:lang w:val="en-GB" w:eastAsia="en-GB"/>
        </w:rPr>
        <w:t xml:space="preserve"> spp. (R29IMN); </w:t>
      </w:r>
      <w:r w:rsidRPr="00133FD8">
        <w:rPr>
          <w:rFonts w:ascii="Calibri" w:eastAsia="Times New Roman" w:hAnsi="Calibri" w:cs="Times New Roman"/>
          <w:i/>
          <w:color w:val="000000"/>
          <w:sz w:val="16"/>
          <w:szCs w:val="16"/>
          <w:lang w:val="en-GB" w:eastAsia="en-GB"/>
        </w:rPr>
        <w:t>Atriplex prostrata</w:t>
      </w:r>
      <w:r w:rsidRPr="00133FD8">
        <w:rPr>
          <w:rFonts w:ascii="Calibri" w:eastAsia="Times New Roman" w:hAnsi="Calibri" w:cs="Times New Roman"/>
          <w:color w:val="000000"/>
          <w:sz w:val="16"/>
          <w:szCs w:val="16"/>
          <w:lang w:val="en-GB" w:eastAsia="en-GB"/>
        </w:rPr>
        <w:t xml:space="preserve"> (R54IMN); </w:t>
      </w:r>
      <w:r w:rsidRPr="00133FD8">
        <w:rPr>
          <w:rFonts w:ascii="Calibri" w:eastAsia="Times New Roman" w:hAnsi="Calibri" w:cs="Times New Roman"/>
          <w:i/>
          <w:color w:val="000000"/>
          <w:sz w:val="16"/>
          <w:szCs w:val="16"/>
          <w:lang w:val="en-GB" w:eastAsia="en-GB"/>
        </w:rPr>
        <w:t>Tortella tortuosa</w:t>
      </w:r>
      <w:r w:rsidRPr="00133FD8">
        <w:rPr>
          <w:rFonts w:ascii="Calibri" w:eastAsia="Times New Roman" w:hAnsi="Calibri" w:cs="Times New Roman"/>
          <w:color w:val="000000"/>
          <w:sz w:val="16"/>
          <w:szCs w:val="16"/>
          <w:lang w:val="en-GB" w:eastAsia="en-GB"/>
        </w:rPr>
        <w:t xml:space="preserve"> (R43IMR); </w:t>
      </w:r>
      <w:r w:rsidRPr="00133FD8">
        <w:rPr>
          <w:rFonts w:ascii="Calibri" w:eastAsia="Times New Roman" w:hAnsi="Calibri" w:cs="Times New Roman"/>
          <w:i/>
          <w:color w:val="000000"/>
          <w:sz w:val="16"/>
          <w:szCs w:val="16"/>
          <w:lang w:val="en-GB" w:eastAsia="en-GB"/>
        </w:rPr>
        <w:t>Centaurea nigra</w:t>
      </w:r>
      <w:r w:rsidRPr="00133FD8">
        <w:rPr>
          <w:rFonts w:ascii="Calibri" w:eastAsia="Times New Roman" w:hAnsi="Calibri" w:cs="Times New Roman"/>
          <w:color w:val="000000"/>
          <w:sz w:val="16"/>
          <w:szCs w:val="16"/>
          <w:lang w:val="en-GB" w:eastAsia="en-GB"/>
        </w:rPr>
        <w:t xml:space="preserve">, </w:t>
      </w:r>
      <w:r w:rsidRPr="00133FD8">
        <w:rPr>
          <w:rFonts w:ascii="Calibri" w:eastAsia="Times New Roman" w:hAnsi="Calibri" w:cs="Times New Roman"/>
          <w:i/>
          <w:color w:val="000000"/>
          <w:sz w:val="16"/>
          <w:szCs w:val="16"/>
          <w:lang w:val="en-GB" w:eastAsia="en-GB"/>
        </w:rPr>
        <w:t>Elytrigia repens, Ranunculus acris</w:t>
      </w:r>
      <w:r w:rsidRPr="00133FD8">
        <w:rPr>
          <w:rFonts w:ascii="Calibri" w:eastAsia="Times New Roman" w:hAnsi="Calibri" w:cs="Times New Roman"/>
          <w:color w:val="000000"/>
          <w:sz w:val="16"/>
          <w:szCs w:val="16"/>
          <w:lang w:val="en-GB" w:eastAsia="en-GB"/>
        </w:rPr>
        <w:t xml:space="preserve"> (R21IMN); </w:t>
      </w:r>
      <w:r w:rsidRPr="00133FD8">
        <w:rPr>
          <w:rFonts w:ascii="Calibri" w:eastAsia="Times New Roman" w:hAnsi="Calibri" w:cs="Times New Roman"/>
          <w:i/>
          <w:color w:val="000000"/>
          <w:sz w:val="16"/>
          <w:szCs w:val="16"/>
          <w:lang w:val="en-GB" w:eastAsia="en-GB"/>
        </w:rPr>
        <w:t>Ctenidium molluscum</w:t>
      </w:r>
      <w:r w:rsidRPr="00133FD8">
        <w:rPr>
          <w:rFonts w:ascii="Calibri" w:eastAsia="Times New Roman" w:hAnsi="Calibri" w:cs="Times New Roman"/>
          <w:color w:val="000000"/>
          <w:sz w:val="16"/>
          <w:szCs w:val="16"/>
          <w:lang w:val="en-GB" w:eastAsia="en-GB"/>
        </w:rPr>
        <w:t xml:space="preserve"> (R34IMN); </w:t>
      </w:r>
      <w:r w:rsidRPr="00133FD8">
        <w:rPr>
          <w:rFonts w:ascii="Calibri" w:eastAsia="Times New Roman" w:hAnsi="Calibri" w:cs="Times New Roman"/>
          <w:i/>
          <w:color w:val="000000"/>
          <w:sz w:val="16"/>
          <w:szCs w:val="16"/>
          <w:lang w:val="en-GB" w:eastAsia="en-GB"/>
        </w:rPr>
        <w:t>Achillea millefolium, Bromus hordeaceus, Anacamptis pyramidalis</w:t>
      </w:r>
      <w:r w:rsidRPr="00133FD8">
        <w:rPr>
          <w:rFonts w:ascii="Calibri" w:eastAsia="Times New Roman" w:hAnsi="Calibri" w:cs="Times New Roman"/>
          <w:color w:val="000000"/>
          <w:sz w:val="16"/>
          <w:szCs w:val="16"/>
          <w:lang w:val="en-GB" w:eastAsia="en-GB"/>
        </w:rPr>
        <w:t xml:space="preserve"> (R30IMN); </w:t>
      </w:r>
      <w:r w:rsidRPr="00133FD8">
        <w:rPr>
          <w:rFonts w:ascii="Calibri" w:eastAsia="Times New Roman" w:hAnsi="Calibri" w:cs="Times New Roman"/>
          <w:i/>
          <w:color w:val="000000"/>
          <w:sz w:val="16"/>
          <w:szCs w:val="16"/>
          <w:lang w:val="en-GB" w:eastAsia="en-GB"/>
        </w:rPr>
        <w:t>Leucanthemum vulgare</w:t>
      </w:r>
      <w:r w:rsidRPr="00133FD8">
        <w:rPr>
          <w:rFonts w:ascii="Calibri" w:eastAsia="Times New Roman" w:hAnsi="Calibri" w:cs="Times New Roman"/>
          <w:color w:val="000000"/>
          <w:sz w:val="16"/>
          <w:szCs w:val="16"/>
          <w:lang w:val="en-GB" w:eastAsia="en-GB"/>
        </w:rPr>
        <w:t xml:space="preserve"> (R31IMN); </w:t>
      </w:r>
      <w:r w:rsidRPr="00133FD8">
        <w:rPr>
          <w:rFonts w:ascii="Calibri" w:eastAsia="Times New Roman" w:hAnsi="Calibri" w:cs="Times New Roman"/>
          <w:i/>
          <w:color w:val="000000"/>
          <w:sz w:val="16"/>
          <w:szCs w:val="16"/>
          <w:lang w:val="en-GB" w:eastAsia="en-GB"/>
        </w:rPr>
        <w:t>Leontodon hispidus, Medicago sativa, Sanguisorba minor</w:t>
      </w:r>
      <w:r w:rsidRPr="00133FD8">
        <w:rPr>
          <w:rFonts w:ascii="Calibri" w:eastAsia="Times New Roman" w:hAnsi="Calibri" w:cs="Times New Roman"/>
          <w:color w:val="000000"/>
          <w:sz w:val="16"/>
          <w:szCs w:val="16"/>
          <w:lang w:val="en-GB" w:eastAsia="en-GB"/>
        </w:rPr>
        <w:t xml:space="preserve"> (R214IMN*); </w:t>
      </w:r>
      <w:r w:rsidRPr="00133FD8">
        <w:rPr>
          <w:rFonts w:ascii="Calibri" w:eastAsia="Times New Roman" w:hAnsi="Calibri" w:cs="Times New Roman"/>
          <w:i/>
          <w:color w:val="000000"/>
          <w:sz w:val="16"/>
          <w:szCs w:val="16"/>
          <w:lang w:val="en-GB" w:eastAsia="en-GB"/>
        </w:rPr>
        <w:t xml:space="preserve">Primula </w:t>
      </w:r>
      <w:r w:rsidRPr="00133FD8">
        <w:rPr>
          <w:rFonts w:ascii="Calibri" w:eastAsia="Times New Roman" w:hAnsi="Calibri" w:cs="Times New Roman"/>
          <w:color w:val="000000"/>
          <w:sz w:val="16"/>
          <w:szCs w:val="16"/>
          <w:lang w:val="en-GB" w:eastAsia="en-GB"/>
        </w:rPr>
        <w:t xml:space="preserve">spp., </w:t>
      </w:r>
      <w:r w:rsidRPr="00133FD8">
        <w:rPr>
          <w:rFonts w:ascii="Calibri" w:eastAsia="Times New Roman" w:hAnsi="Calibri" w:cs="Times New Roman"/>
          <w:i/>
          <w:color w:val="000000"/>
          <w:sz w:val="16"/>
          <w:szCs w:val="16"/>
          <w:lang w:val="en-GB" w:eastAsia="en-GB"/>
        </w:rPr>
        <w:t>Trifolium pratense, Platanthera bifolia</w:t>
      </w:r>
      <w:r w:rsidRPr="00133FD8">
        <w:rPr>
          <w:rFonts w:ascii="Calibri" w:eastAsia="Times New Roman" w:hAnsi="Calibri" w:cs="Times New Roman"/>
          <w:color w:val="000000"/>
          <w:sz w:val="16"/>
          <w:szCs w:val="16"/>
          <w:lang w:val="en-GB" w:eastAsia="en-GB"/>
        </w:rPr>
        <w:t xml:space="preserve"> (R59IMN);  </w:t>
      </w:r>
      <w:r w:rsidRPr="00133FD8">
        <w:rPr>
          <w:rFonts w:ascii="Calibri" w:eastAsia="Times New Roman" w:hAnsi="Calibri" w:cs="Times New Roman"/>
          <w:i/>
          <w:color w:val="000000"/>
          <w:sz w:val="16"/>
          <w:szCs w:val="16"/>
          <w:lang w:val="en-GB" w:eastAsia="en-GB"/>
        </w:rPr>
        <w:t>Carex distans</w:t>
      </w:r>
      <w:r w:rsidRPr="00133FD8">
        <w:rPr>
          <w:rFonts w:ascii="Calibri" w:eastAsia="Times New Roman" w:hAnsi="Calibri" w:cs="Times New Roman"/>
          <w:color w:val="000000"/>
          <w:sz w:val="16"/>
          <w:szCs w:val="16"/>
          <w:lang w:val="en-GB" w:eastAsia="en-GB"/>
        </w:rPr>
        <w:t xml:space="preserve"> (R33IMR); </w:t>
      </w:r>
      <w:r w:rsidRPr="00133FD8">
        <w:rPr>
          <w:rFonts w:ascii="Calibri" w:eastAsia="Times New Roman" w:hAnsi="Calibri" w:cs="Times New Roman"/>
          <w:i/>
          <w:color w:val="000000"/>
          <w:sz w:val="16"/>
          <w:szCs w:val="16"/>
          <w:lang w:val="en-GB" w:eastAsia="en-GB"/>
        </w:rPr>
        <w:t>Prunella vulgare</w:t>
      </w:r>
      <w:r w:rsidRPr="00133FD8">
        <w:rPr>
          <w:rFonts w:ascii="Calibri" w:eastAsia="Times New Roman" w:hAnsi="Calibri" w:cs="Times New Roman"/>
          <w:color w:val="000000"/>
          <w:sz w:val="16"/>
          <w:szCs w:val="16"/>
          <w:lang w:val="en-GB" w:eastAsia="en-GB"/>
        </w:rPr>
        <w:t xml:space="preserve"> (R44IMR).</w:t>
      </w: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br w:type="page"/>
      </w: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sectPr w:rsidR="00133FD8" w:rsidRPr="00133FD8" w:rsidSect="001C25CC">
          <w:pgSz w:w="16838" w:h="11906" w:orient="landscape"/>
          <w:pgMar w:top="1440" w:right="1440" w:bottom="1440" w:left="1440" w:header="708" w:footer="708" w:gutter="0"/>
          <w:cols w:space="708"/>
          <w:docGrid w:linePitch="360"/>
        </w:sect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Table 5.</w:t>
      </w:r>
      <w:proofErr w:type="gramEnd"/>
      <w:r w:rsidRPr="00133FD8">
        <w:rPr>
          <w:rFonts w:ascii="Times New Roman" w:eastAsia="Times New Roman" w:hAnsi="Times New Roman" w:cs="Times New Roman"/>
          <w:sz w:val="24"/>
          <w:szCs w:val="24"/>
          <w:lang w:val="en-GB" w:eastAsia="en-GB"/>
        </w:rPr>
        <w:t xml:space="preserve"> </w:t>
      </w:r>
      <w:proofErr w:type="gramStart"/>
      <w:r w:rsidRPr="00133FD8">
        <w:rPr>
          <w:rFonts w:ascii="Calibri" w:eastAsia="Times New Roman" w:hAnsi="Calibri" w:cs="Times New Roman"/>
          <w:color w:val="000000"/>
          <w:sz w:val="24"/>
          <w:szCs w:val="24"/>
          <w:lang w:val="en-GB" w:eastAsia="en-GB"/>
        </w:rPr>
        <w:t>Relevés in seaweed plots (green) and in adjacent untreated (yellow) plots in Inis Mór.</w:t>
      </w:r>
      <w:proofErr w:type="gramEnd"/>
      <w:r w:rsidRPr="00133FD8">
        <w:rPr>
          <w:rFonts w:ascii="Calibri" w:eastAsia="Times New Roman" w:hAnsi="Calibri" w:cs="Times New Roman"/>
          <w:color w:val="000000"/>
          <w:sz w:val="24"/>
          <w:szCs w:val="24"/>
          <w:lang w:val="en-GB" w:eastAsia="en-GB"/>
        </w:rPr>
        <w:t xml:space="preserve"> Positive indicator species are highlighted in bold and negative indicator species are underlined</w:t>
      </w:r>
    </w:p>
    <w:tbl>
      <w:tblPr>
        <w:tblW w:w="9212" w:type="dxa"/>
        <w:tblInd w:w="103" w:type="dxa"/>
        <w:tblLook w:val="04A0" w:firstRow="1" w:lastRow="0" w:firstColumn="1" w:lastColumn="0" w:noHBand="0" w:noVBand="1"/>
      </w:tblPr>
      <w:tblGrid>
        <w:gridCol w:w="1848"/>
        <w:gridCol w:w="676"/>
        <w:gridCol w:w="676"/>
        <w:gridCol w:w="676"/>
        <w:gridCol w:w="676"/>
        <w:gridCol w:w="676"/>
        <w:gridCol w:w="543"/>
        <w:gridCol w:w="133"/>
        <w:gridCol w:w="676"/>
        <w:gridCol w:w="676"/>
        <w:gridCol w:w="676"/>
        <w:gridCol w:w="676"/>
        <w:gridCol w:w="676"/>
        <w:gridCol w:w="628"/>
        <w:gridCol w:w="48"/>
      </w:tblGrid>
      <w:tr w:rsidR="00133FD8" w:rsidRPr="00133FD8" w:rsidTr="001C25CC">
        <w:trPr>
          <w:gridAfter w:val="1"/>
          <w:wAfter w:w="73" w:type="dxa"/>
          <w:trHeight w:val="113"/>
        </w:trPr>
        <w:tc>
          <w:tcPr>
            <w:tcW w:w="1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p>
        </w:tc>
        <w:tc>
          <w:tcPr>
            <w:tcW w:w="3403" w:type="dxa"/>
            <w:gridSpan w:val="6"/>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Seaweed</w:t>
            </w:r>
          </w:p>
        </w:tc>
        <w:tc>
          <w:tcPr>
            <w:tcW w:w="3888" w:type="dxa"/>
            <w:gridSpan w:val="7"/>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No seaweed</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Relevés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R34IMR</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R35IMR</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R38IMR</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R39IMR</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R42IMR</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R43IMR</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R33IMR</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R36IMR</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R37IMR</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R40IMR</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R41IMR</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4"/>
                <w:szCs w:val="16"/>
                <w:lang w:val="en-GB" w:eastAsia="en-GB"/>
              </w:rPr>
            </w:pPr>
            <w:r w:rsidRPr="00133FD8">
              <w:rPr>
                <w:rFonts w:ascii="Calibri" w:eastAsia="Times New Roman" w:hAnsi="Calibri" w:cs="Times New Roman"/>
                <w:b/>
                <w:bCs/>
                <w:color w:val="000000"/>
                <w:sz w:val="14"/>
                <w:szCs w:val="16"/>
                <w:lang w:val="en-GB" w:eastAsia="en-GB"/>
              </w:rPr>
              <w:t>R44IMR</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Dmyield(t) per ha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0.8</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0.6</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0.3</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0.8</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1.3</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0.6</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Bare ground</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Grass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65</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Sedge</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Broadleaves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Bryophytes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65</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75</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Total species no.</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17</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19</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19</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22</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19</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23</w:t>
            </w: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Calliergonella cuspidata</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Bellis perennis</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Poa pratensis</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Geranium molle</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Scleropodium purum</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Trifolium dubium</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Rumex acetosa</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Peltigera canina</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nil"/>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Festuca rubra</w:t>
            </w:r>
          </w:p>
        </w:tc>
        <w:tc>
          <w:tcPr>
            <w:tcW w:w="236" w:type="dxa"/>
            <w:tcBorders>
              <w:top w:val="nil"/>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Asperula cynanchica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Cerastium fontanum</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Galium verum</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Trifolium repens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Lotus corniculatus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Carex arenaria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000000" w:fill="FFFFFF"/>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Agrostis stolonifera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Rhytidiadelphus squarrosus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Luzula campestris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Viola tricolor</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Hypochaeris radicata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Anagallis arvensis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Plantago lanceolata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Homalothecium lutescens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Ranunculus bulbosus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Cuscuta epithymum</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Sedum acre</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Senecio jacobaea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Carex flacca</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Euphrasia officinalis agg.</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Syntrichia ruraralis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Leontodon taraxacoides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000000" w:fill="FFFFFF"/>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Aira praecox</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Linum catharticum</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000000" w:fill="FFFFFF"/>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Agrostis capillaris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Phleum pratensis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Homalothecium sericeum</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r w:rsidR="00133FD8" w:rsidRPr="00133FD8" w:rsidTr="001C25CC">
        <w:trPr>
          <w:trHeight w:val="113"/>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Hylocomium splendens</w:t>
            </w:r>
          </w:p>
        </w:tc>
        <w:tc>
          <w:tcPr>
            <w:tcW w:w="236"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c>
          <w:tcPr>
            <w:tcW w:w="648" w:type="dxa"/>
            <w:gridSpan w:val="2"/>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p>
        </w:tc>
      </w:tr>
    </w:tbl>
    <w:p w:rsidR="00133FD8" w:rsidRPr="00133FD8" w:rsidRDefault="00133FD8" w:rsidP="00133FD8">
      <w:pPr>
        <w:spacing w:after="0" w:line="240" w:lineRule="auto"/>
        <w:jc w:val="both"/>
        <w:rPr>
          <w:rFonts w:ascii="Calibri" w:eastAsia="Times New Roman" w:hAnsi="Calibri" w:cs="Times New Roman"/>
          <w:color w:val="000000"/>
          <w:sz w:val="18"/>
          <w:szCs w:val="18"/>
          <w:lang w:val="en-GB" w:eastAsia="en-GB"/>
        </w:rPr>
      </w:pPr>
      <w:r w:rsidRPr="00133FD8">
        <w:rPr>
          <w:rFonts w:ascii="Times New Roman" w:eastAsia="Times New Roman" w:hAnsi="Times New Roman" w:cs="Times New Roman"/>
          <w:sz w:val="24"/>
          <w:szCs w:val="24"/>
          <w:lang w:val="en-GB" w:eastAsia="en-GB"/>
        </w:rPr>
        <w:t xml:space="preserve">Species that occur in just one relevé: </w:t>
      </w:r>
      <w:r w:rsidRPr="00133FD8">
        <w:rPr>
          <w:rFonts w:ascii="Calibri" w:eastAsia="Times New Roman" w:hAnsi="Calibri" w:cs="Times New Roman"/>
          <w:i/>
          <w:color w:val="000000"/>
          <w:sz w:val="18"/>
          <w:szCs w:val="18"/>
          <w:lang w:val="en-GB" w:eastAsia="en-GB"/>
        </w:rPr>
        <w:t>Carex</w:t>
      </w:r>
      <w:r w:rsidRPr="00133FD8">
        <w:rPr>
          <w:rFonts w:ascii="Calibri" w:eastAsia="Times New Roman" w:hAnsi="Calibri" w:cs="Times New Roman"/>
          <w:color w:val="000000"/>
          <w:sz w:val="18"/>
          <w:szCs w:val="18"/>
          <w:lang w:val="en-GB" w:eastAsia="en-GB"/>
        </w:rPr>
        <w:t xml:space="preserve"> spp (R34IMR); </w:t>
      </w:r>
      <w:r w:rsidRPr="00133FD8">
        <w:rPr>
          <w:rFonts w:ascii="Calibri" w:eastAsia="Times New Roman" w:hAnsi="Calibri" w:cs="Times New Roman"/>
          <w:i/>
          <w:color w:val="000000"/>
          <w:sz w:val="18"/>
          <w:szCs w:val="18"/>
          <w:lang w:val="en-GB" w:eastAsia="en-GB"/>
        </w:rPr>
        <w:t>Veronica chamaedrys, Campanula rotundifolia, Cerastium glomeratum</w:t>
      </w:r>
      <w:r w:rsidRPr="00133FD8">
        <w:rPr>
          <w:rFonts w:ascii="Calibri" w:eastAsia="Times New Roman" w:hAnsi="Calibri" w:cs="Times New Roman"/>
          <w:color w:val="000000"/>
          <w:sz w:val="18"/>
          <w:szCs w:val="18"/>
          <w:lang w:val="en-GB" w:eastAsia="en-GB"/>
        </w:rPr>
        <w:t xml:space="preserve"> (R35IMR); </w:t>
      </w:r>
      <w:r w:rsidRPr="00133FD8">
        <w:rPr>
          <w:rFonts w:ascii="Calibri" w:eastAsia="Times New Roman" w:hAnsi="Calibri" w:cs="Times New Roman"/>
          <w:i/>
          <w:color w:val="000000"/>
          <w:sz w:val="18"/>
          <w:szCs w:val="18"/>
          <w:lang w:val="en-GB" w:eastAsia="en-GB"/>
        </w:rPr>
        <w:t>Poa annua</w:t>
      </w:r>
      <w:r w:rsidRPr="00133FD8">
        <w:rPr>
          <w:rFonts w:ascii="Calibri" w:eastAsia="Times New Roman" w:hAnsi="Calibri" w:cs="Times New Roman"/>
          <w:color w:val="000000"/>
          <w:sz w:val="18"/>
          <w:szCs w:val="18"/>
          <w:lang w:val="en-GB" w:eastAsia="en-GB"/>
        </w:rPr>
        <w:t xml:space="preserve"> (R39IMR); </w:t>
      </w:r>
      <w:r w:rsidRPr="00133FD8">
        <w:rPr>
          <w:rFonts w:ascii="Calibri" w:eastAsia="Times New Roman" w:hAnsi="Calibri" w:cs="Times New Roman"/>
          <w:i/>
          <w:color w:val="000000"/>
          <w:sz w:val="18"/>
          <w:szCs w:val="18"/>
          <w:lang w:val="en-GB" w:eastAsia="en-GB"/>
        </w:rPr>
        <w:t>Tortella tortuosa</w:t>
      </w:r>
      <w:r w:rsidRPr="00133FD8">
        <w:rPr>
          <w:rFonts w:ascii="Calibri" w:eastAsia="Times New Roman" w:hAnsi="Calibri" w:cs="Times New Roman"/>
          <w:color w:val="000000"/>
          <w:sz w:val="18"/>
          <w:szCs w:val="18"/>
          <w:lang w:val="en-GB" w:eastAsia="en-GB"/>
        </w:rPr>
        <w:t xml:space="preserve"> (R43IMR); </w:t>
      </w:r>
      <w:r w:rsidRPr="00133FD8">
        <w:rPr>
          <w:rFonts w:ascii="Calibri" w:eastAsia="Times New Roman" w:hAnsi="Calibri" w:cs="Times New Roman"/>
          <w:i/>
          <w:color w:val="000000"/>
          <w:sz w:val="18"/>
          <w:szCs w:val="18"/>
          <w:lang w:val="en-GB" w:eastAsia="en-GB"/>
        </w:rPr>
        <w:t>Carex distans, Holcus lanatus</w:t>
      </w:r>
      <w:r w:rsidRPr="00133FD8">
        <w:rPr>
          <w:rFonts w:ascii="Calibri" w:eastAsia="Times New Roman" w:hAnsi="Calibri" w:cs="Times New Roman"/>
          <w:color w:val="000000"/>
          <w:sz w:val="18"/>
          <w:szCs w:val="18"/>
          <w:lang w:val="en-GB" w:eastAsia="en-GB"/>
        </w:rPr>
        <w:t xml:space="preserve"> (R33IMR); </w:t>
      </w:r>
      <w:r w:rsidRPr="00133FD8">
        <w:rPr>
          <w:rFonts w:ascii="Calibri" w:eastAsia="Times New Roman" w:hAnsi="Calibri" w:cs="Times New Roman"/>
          <w:i/>
          <w:color w:val="000000"/>
          <w:sz w:val="18"/>
          <w:szCs w:val="18"/>
          <w:u w:val="single"/>
          <w:lang w:val="en-GB" w:eastAsia="en-GB"/>
        </w:rPr>
        <w:t>Arrhenatherum elatius</w:t>
      </w:r>
      <w:r w:rsidRPr="00133FD8">
        <w:rPr>
          <w:rFonts w:ascii="Calibri" w:eastAsia="Times New Roman" w:hAnsi="Calibri" w:cs="Times New Roman"/>
          <w:color w:val="000000"/>
          <w:sz w:val="18"/>
          <w:szCs w:val="18"/>
          <w:u w:val="single"/>
          <w:lang w:val="en-GB" w:eastAsia="en-GB"/>
        </w:rPr>
        <w:t xml:space="preserve"> (R36IMR); </w:t>
      </w:r>
      <w:r w:rsidRPr="00133FD8">
        <w:rPr>
          <w:rFonts w:ascii="Calibri" w:eastAsia="Times New Roman" w:hAnsi="Calibri" w:cs="Times New Roman"/>
          <w:i/>
          <w:color w:val="000000"/>
          <w:sz w:val="18"/>
          <w:szCs w:val="18"/>
          <w:lang w:val="en-GB" w:eastAsia="en-GB"/>
        </w:rPr>
        <w:t>Dactylis glomerata</w:t>
      </w:r>
      <w:r w:rsidRPr="00133FD8">
        <w:rPr>
          <w:rFonts w:ascii="Calibri" w:eastAsia="Times New Roman" w:hAnsi="Calibri" w:cs="Times New Roman"/>
          <w:color w:val="000000"/>
          <w:sz w:val="18"/>
          <w:szCs w:val="18"/>
          <w:lang w:val="en-GB" w:eastAsia="en-GB"/>
        </w:rPr>
        <w:t xml:space="preserve"> (R37IMR); </w:t>
      </w:r>
      <w:r w:rsidRPr="00133FD8">
        <w:rPr>
          <w:rFonts w:ascii="Calibri" w:eastAsia="Times New Roman" w:hAnsi="Calibri" w:cs="Times New Roman"/>
          <w:i/>
          <w:color w:val="000000"/>
          <w:sz w:val="18"/>
          <w:szCs w:val="18"/>
          <w:lang w:val="en-GB" w:eastAsia="en-GB"/>
        </w:rPr>
        <w:t>Prunella vulgaris</w:t>
      </w:r>
      <w:r w:rsidRPr="00133FD8">
        <w:rPr>
          <w:rFonts w:ascii="Calibri" w:eastAsia="Times New Roman" w:hAnsi="Calibri" w:cs="Times New Roman"/>
          <w:color w:val="000000"/>
          <w:sz w:val="18"/>
          <w:szCs w:val="18"/>
          <w:lang w:val="en-GB" w:eastAsia="en-GB"/>
        </w:rPr>
        <w:t xml:space="preserve"> (R44IMR).</w:t>
      </w:r>
    </w:p>
    <w:p w:rsidR="00133FD8" w:rsidRPr="00133FD8" w:rsidRDefault="00133FD8" w:rsidP="00133FD8">
      <w:pPr>
        <w:spacing w:after="0" w:line="240" w:lineRule="auto"/>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br w:type="page"/>
      </w:r>
    </w:p>
    <w:p w:rsidR="00133FD8" w:rsidRPr="00133FD8" w:rsidRDefault="00133FD8" w:rsidP="00133FD8">
      <w:pPr>
        <w:spacing w:after="0" w:line="240" w:lineRule="auto"/>
        <w:rPr>
          <w:rFonts w:ascii="Calibri" w:eastAsia="Times New Roman" w:hAnsi="Calibri" w:cs="Times New Roman"/>
          <w:color w:val="000000"/>
          <w:sz w:val="24"/>
          <w:szCs w:val="24"/>
          <w:lang w:val="en-GB" w:eastAsia="en-GB"/>
        </w:rPr>
      </w:pPr>
      <w:proofErr w:type="gramStart"/>
      <w:r w:rsidRPr="00133FD8">
        <w:rPr>
          <w:rFonts w:ascii="Calibri" w:eastAsia="Times New Roman" w:hAnsi="Calibri" w:cs="Times New Roman"/>
          <w:color w:val="000000"/>
          <w:sz w:val="24"/>
          <w:szCs w:val="24"/>
          <w:lang w:val="en-GB" w:eastAsia="en-GB"/>
        </w:rPr>
        <w:lastRenderedPageBreak/>
        <w:t>Table 6.</w:t>
      </w:r>
      <w:proofErr w:type="gramEnd"/>
      <w:r w:rsidRPr="00133FD8">
        <w:rPr>
          <w:rFonts w:ascii="Calibri" w:eastAsia="Times New Roman" w:hAnsi="Calibri" w:cs="Times New Roman"/>
          <w:color w:val="000000"/>
          <w:sz w:val="24"/>
          <w:szCs w:val="24"/>
          <w:lang w:val="en-GB" w:eastAsia="en-GB"/>
        </w:rPr>
        <w:t xml:space="preserve">  </w:t>
      </w:r>
      <w:proofErr w:type="gramStart"/>
      <w:r w:rsidRPr="00133FD8">
        <w:rPr>
          <w:rFonts w:ascii="Calibri" w:eastAsia="Times New Roman" w:hAnsi="Calibri" w:cs="Times New Roman"/>
          <w:color w:val="000000"/>
          <w:sz w:val="24"/>
          <w:szCs w:val="24"/>
          <w:lang w:val="en-GB" w:eastAsia="en-GB"/>
        </w:rPr>
        <w:t>Relevés in seaweed plots (green) and in adjacent untreated (yellow) plots in Inis Meáin.</w:t>
      </w:r>
      <w:proofErr w:type="gramEnd"/>
      <w:r w:rsidRPr="00133FD8">
        <w:rPr>
          <w:rFonts w:ascii="Calibri" w:eastAsia="Times New Roman" w:hAnsi="Calibri" w:cs="Times New Roman"/>
          <w:color w:val="000000"/>
          <w:sz w:val="24"/>
          <w:szCs w:val="24"/>
          <w:lang w:val="en-GB" w:eastAsia="en-GB"/>
        </w:rPr>
        <w:t xml:space="preserve"> Positive indicator species are highlighted in bold and negative indicator species are underlined.</w:t>
      </w:r>
    </w:p>
    <w:tbl>
      <w:tblPr>
        <w:tblW w:w="8496" w:type="dxa"/>
        <w:tblInd w:w="103" w:type="dxa"/>
        <w:tblLook w:val="04A0" w:firstRow="1" w:lastRow="0" w:firstColumn="1" w:lastColumn="0" w:noHBand="0" w:noVBand="1"/>
      </w:tblPr>
      <w:tblGrid>
        <w:gridCol w:w="2040"/>
        <w:gridCol w:w="460"/>
        <w:gridCol w:w="460"/>
        <w:gridCol w:w="423"/>
        <w:gridCol w:w="423"/>
        <w:gridCol w:w="423"/>
        <w:gridCol w:w="423"/>
        <w:gridCol w:w="423"/>
        <w:gridCol w:w="423"/>
        <w:gridCol w:w="423"/>
        <w:gridCol w:w="423"/>
        <w:gridCol w:w="423"/>
        <w:gridCol w:w="423"/>
        <w:gridCol w:w="460"/>
        <w:gridCol w:w="423"/>
        <w:gridCol w:w="423"/>
      </w:tblGrid>
      <w:tr w:rsidR="00133FD8" w:rsidRPr="00133FD8" w:rsidTr="001C25CC">
        <w:trPr>
          <w:trHeight w:val="227"/>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3035" w:type="dxa"/>
            <w:gridSpan w:val="7"/>
            <w:tcBorders>
              <w:top w:val="single" w:sz="4" w:space="0" w:color="auto"/>
              <w:left w:val="nil"/>
              <w:bottom w:val="single" w:sz="4" w:space="0" w:color="auto"/>
              <w:right w:val="single" w:sz="4" w:space="0" w:color="000000"/>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Seaweed</w:t>
            </w:r>
          </w:p>
        </w:tc>
        <w:tc>
          <w:tcPr>
            <w:tcW w:w="3421" w:type="dxa"/>
            <w:gridSpan w:val="8"/>
            <w:tcBorders>
              <w:top w:val="single" w:sz="4" w:space="0" w:color="auto"/>
              <w:left w:val="nil"/>
              <w:bottom w:val="single" w:sz="4" w:space="0" w:color="auto"/>
              <w:right w:val="single" w:sz="4" w:space="0" w:color="000000"/>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No Seaweed</w:t>
            </w:r>
          </w:p>
        </w:tc>
      </w:tr>
      <w:tr w:rsidR="00133FD8" w:rsidRPr="00133FD8" w:rsidTr="001C25CC">
        <w:trPr>
          <w:cantSplit/>
          <w:trHeight w:val="68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Relevés</w:t>
            </w:r>
          </w:p>
        </w:tc>
        <w:tc>
          <w:tcPr>
            <w:tcW w:w="46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R19IMN</w:t>
            </w:r>
          </w:p>
        </w:tc>
        <w:tc>
          <w:tcPr>
            <w:tcW w:w="460"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R20IMN</w:t>
            </w:r>
          </w:p>
        </w:tc>
        <w:tc>
          <w:tcPr>
            <w:tcW w:w="423"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R28IMN</w:t>
            </w:r>
          </w:p>
        </w:tc>
        <w:tc>
          <w:tcPr>
            <w:tcW w:w="423"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R29IMN</w:t>
            </w:r>
          </w:p>
        </w:tc>
        <w:tc>
          <w:tcPr>
            <w:tcW w:w="423"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R33IMN</w:t>
            </w:r>
          </w:p>
        </w:tc>
        <w:tc>
          <w:tcPr>
            <w:tcW w:w="423"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R35IMN</w:t>
            </w:r>
          </w:p>
        </w:tc>
        <w:tc>
          <w:tcPr>
            <w:tcW w:w="423" w:type="dxa"/>
            <w:tcBorders>
              <w:top w:val="nil"/>
              <w:left w:val="nil"/>
              <w:bottom w:val="single" w:sz="4" w:space="0" w:color="auto"/>
              <w:right w:val="single" w:sz="4" w:space="0" w:color="auto"/>
            </w:tcBorders>
            <w:shd w:val="clear" w:color="000000" w:fill="9BBB59"/>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R54IMN</w:t>
            </w:r>
          </w:p>
        </w:tc>
        <w:tc>
          <w:tcPr>
            <w:tcW w:w="423"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R21IMN</w:t>
            </w:r>
          </w:p>
        </w:tc>
        <w:tc>
          <w:tcPr>
            <w:tcW w:w="423"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R22IMN</w:t>
            </w:r>
          </w:p>
        </w:tc>
        <w:tc>
          <w:tcPr>
            <w:tcW w:w="423"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R32IMN</w:t>
            </w:r>
          </w:p>
        </w:tc>
        <w:tc>
          <w:tcPr>
            <w:tcW w:w="423"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R34IMN</w:t>
            </w:r>
          </w:p>
        </w:tc>
        <w:tc>
          <w:tcPr>
            <w:tcW w:w="423"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R30IMN</w:t>
            </w:r>
          </w:p>
        </w:tc>
        <w:tc>
          <w:tcPr>
            <w:tcW w:w="460"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R31IMN</w:t>
            </w:r>
          </w:p>
        </w:tc>
        <w:tc>
          <w:tcPr>
            <w:tcW w:w="423"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R59IMN</w:t>
            </w:r>
          </w:p>
        </w:tc>
        <w:tc>
          <w:tcPr>
            <w:tcW w:w="423" w:type="dxa"/>
            <w:tcBorders>
              <w:top w:val="nil"/>
              <w:left w:val="nil"/>
              <w:bottom w:val="single" w:sz="4" w:space="0" w:color="auto"/>
              <w:right w:val="single" w:sz="4" w:space="0" w:color="auto"/>
            </w:tcBorders>
            <w:shd w:val="clear" w:color="000000" w:fill="FFFF00"/>
            <w:noWrap/>
            <w:textDirection w:val="tbLrV"/>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R14IMN*</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DM yield(t) per ha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3.6</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0.8</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0.8</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0.9</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0.9</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Bare ground</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Grass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100</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Sedge</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&lt;1</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Broadleaves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12</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50</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 Bryophytes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45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0</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80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70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90</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100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60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Total species no.</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27</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18</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26</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26</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17</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30</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bCs/>
                <w:color w:val="000000"/>
                <w:sz w:val="16"/>
                <w:szCs w:val="16"/>
                <w:lang w:val="en-GB" w:eastAsia="en-GB"/>
              </w:rPr>
            </w:pPr>
            <w:r w:rsidRPr="00133FD8">
              <w:rPr>
                <w:rFonts w:ascii="Calibri" w:eastAsia="Times New Roman" w:hAnsi="Calibri" w:cs="Times New Roman"/>
                <w:b/>
                <w:bCs/>
                <w:color w:val="000000"/>
                <w:sz w:val="16"/>
                <w:szCs w:val="16"/>
                <w:lang w:val="en-GB" w:eastAsia="en-GB"/>
              </w:rPr>
              <w:t>17</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Stellaria media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1</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1</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1</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1</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3</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sz w:val="16"/>
                <w:szCs w:val="16"/>
                <w:lang w:val="en-GB" w:eastAsia="en-GB"/>
              </w:rPr>
            </w:pPr>
            <w:r w:rsidRPr="00133FD8">
              <w:rPr>
                <w:rFonts w:ascii="Calibri" w:eastAsia="Times New Roman" w:hAnsi="Calibri" w:cs="Times New Roman"/>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Hypochaeris radicata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Anthylis vulneraria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Syntrichia ruralis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Rhytidiadelphs squarrosus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Scleropodium purum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Rhinanthus minor</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Rumex acetosa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xml:space="preserve">Euphrasia officinalis agg.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Peltigera canina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60"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Leontodon  autumnalis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single" w:sz="4" w:space="0" w:color="auto"/>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Plantago  lanceolata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Festuca rubra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7</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8</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Asperula cynanchica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Galium verum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6</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8</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Trifolium repens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xml:space="preserve">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Lotus corniculatus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5</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Luzula campestris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Trifolium dubium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Cerastium fontanum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Dactylis glomerata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Senecio jacobaea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3</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Arrhenatherum elatius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8</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8</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7</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8</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1</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Veronica chamaedrys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7</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Campanula rotundifolia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Ranunculus repens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Pillosella officinarum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Homalothecium lutescens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Carex flacca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6</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Cerastium glomeratum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Blackstonia perfoliata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Daucus carota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Sagina nodosa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Dicranum scoparium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Calliergonella cuspidatum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Poa pratensis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Centaurium erythraea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Carex arenaria</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Lolium perenne</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5</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u w:val="single"/>
                <w:lang w:val="en-GB" w:eastAsia="en-GB"/>
              </w:rPr>
            </w:pPr>
            <w:r w:rsidRPr="00133FD8">
              <w:rPr>
                <w:rFonts w:ascii="Calibri" w:eastAsia="Times New Roman" w:hAnsi="Calibri" w:cs="Times New Roman"/>
                <w:color w:val="000000"/>
                <w:sz w:val="16"/>
                <w:szCs w:val="16"/>
                <w:u w:val="single"/>
                <w:lang w:val="en-GB" w:eastAsia="en-GB"/>
              </w:rPr>
              <w:t>5</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Crepis capillaris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Viola sp.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Anagallis arvensis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Ranunculus bulbosus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Leontodon taraxacoides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Linum catharticum</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1</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b/>
                <w:color w:val="000000"/>
                <w:sz w:val="16"/>
                <w:szCs w:val="16"/>
                <w:lang w:val="en-GB" w:eastAsia="en-GB"/>
              </w:rPr>
            </w:pPr>
            <w:r w:rsidRPr="00133FD8">
              <w:rPr>
                <w:rFonts w:ascii="Calibri" w:eastAsia="Times New Roman" w:hAnsi="Calibri" w:cs="Times New Roman"/>
                <w:b/>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Carex spp</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Taraxacum officinale</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3</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xml:space="preserve"> +</w:t>
            </w:r>
          </w:p>
        </w:tc>
      </w:tr>
      <w:tr w:rsidR="00133FD8" w:rsidRPr="00133FD8" w:rsidTr="001C25CC">
        <w:trPr>
          <w:trHeight w:val="2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133FD8" w:rsidRPr="00133FD8" w:rsidRDefault="00133FD8" w:rsidP="00133FD8">
            <w:pPr>
              <w:spacing w:after="0" w:line="240" w:lineRule="auto"/>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Rhytidiadelphus triquetrus</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5</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9BBB59"/>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60"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4</w:t>
            </w:r>
          </w:p>
        </w:tc>
        <w:tc>
          <w:tcPr>
            <w:tcW w:w="423" w:type="dxa"/>
            <w:tcBorders>
              <w:top w:val="nil"/>
              <w:left w:val="nil"/>
              <w:bottom w:val="single" w:sz="4" w:space="0" w:color="auto"/>
              <w:right w:val="single" w:sz="4" w:space="0" w:color="auto"/>
            </w:tcBorders>
            <w:shd w:val="clear" w:color="000000" w:fill="FFFF00"/>
            <w:noWrap/>
            <w:vAlign w:val="center"/>
            <w:hideMark/>
          </w:tcPr>
          <w:p w:rsidR="00133FD8" w:rsidRPr="00133FD8" w:rsidRDefault="00133FD8" w:rsidP="00133FD8">
            <w:pPr>
              <w:spacing w:after="0" w:line="240" w:lineRule="auto"/>
              <w:jc w:val="center"/>
              <w:rPr>
                <w:rFonts w:ascii="Calibri" w:eastAsia="Times New Roman" w:hAnsi="Calibri" w:cs="Times New Roman"/>
                <w:color w:val="000000"/>
                <w:sz w:val="16"/>
                <w:szCs w:val="16"/>
                <w:lang w:val="en-GB" w:eastAsia="en-GB"/>
              </w:rPr>
            </w:pPr>
            <w:r w:rsidRPr="00133FD8">
              <w:rPr>
                <w:rFonts w:ascii="Calibri" w:eastAsia="Times New Roman" w:hAnsi="Calibri" w:cs="Times New Roman"/>
                <w:color w:val="000000"/>
                <w:sz w:val="16"/>
                <w:szCs w:val="16"/>
                <w:lang w:val="en-GB" w:eastAsia="en-GB"/>
              </w:rPr>
              <w:t> </w:t>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lastRenderedPageBreak/>
        <w:t xml:space="preserve">Species that occur in only one relevé: </w:t>
      </w:r>
      <w:r w:rsidRPr="00133FD8">
        <w:rPr>
          <w:rFonts w:ascii="Calibri" w:eastAsia="Times New Roman" w:hAnsi="Calibri" w:cs="Times New Roman"/>
          <w:i/>
          <w:color w:val="000000"/>
          <w:sz w:val="16"/>
          <w:szCs w:val="16"/>
          <w:lang w:val="en-GB" w:eastAsia="en-GB"/>
        </w:rPr>
        <w:t>Chenopodium album, Geranium sanguineum</w:t>
      </w:r>
      <w:r w:rsidRPr="00133FD8">
        <w:rPr>
          <w:rFonts w:ascii="Calibri" w:eastAsia="Times New Roman" w:hAnsi="Calibri" w:cs="Times New Roman"/>
          <w:color w:val="000000"/>
          <w:sz w:val="16"/>
          <w:szCs w:val="16"/>
          <w:lang w:val="en-GB" w:eastAsia="en-GB"/>
        </w:rPr>
        <w:t xml:space="preserve"> (R19IMN); </w:t>
      </w:r>
      <w:r w:rsidRPr="00133FD8">
        <w:rPr>
          <w:rFonts w:ascii="Calibri" w:eastAsia="Times New Roman" w:hAnsi="Calibri" w:cs="Times New Roman"/>
          <w:i/>
          <w:color w:val="000000"/>
          <w:sz w:val="16"/>
          <w:szCs w:val="16"/>
          <w:lang w:val="en-GB" w:eastAsia="en-GB"/>
        </w:rPr>
        <w:t>Agrostis capillaris, Galium saxatile, Galium spp.</w:t>
      </w:r>
      <w:r w:rsidRPr="00133FD8">
        <w:rPr>
          <w:rFonts w:ascii="Calibri" w:eastAsia="Times New Roman" w:hAnsi="Calibri" w:cs="Times New Roman"/>
          <w:color w:val="000000"/>
          <w:sz w:val="16"/>
          <w:szCs w:val="16"/>
          <w:lang w:val="en-GB" w:eastAsia="en-GB"/>
        </w:rPr>
        <w:t xml:space="preserve"> (R20IMN); </w:t>
      </w:r>
      <w:r w:rsidRPr="00133FD8">
        <w:rPr>
          <w:rFonts w:ascii="Calibri" w:eastAsia="Times New Roman" w:hAnsi="Calibri" w:cs="Times New Roman"/>
          <w:i/>
          <w:color w:val="000000"/>
          <w:sz w:val="16"/>
          <w:szCs w:val="16"/>
          <w:lang w:val="en-GB" w:eastAsia="en-GB"/>
        </w:rPr>
        <w:t xml:space="preserve">Agrostis spp., </w:t>
      </w:r>
      <w:r w:rsidRPr="00133FD8">
        <w:rPr>
          <w:rFonts w:ascii="Calibri" w:eastAsia="Times New Roman" w:hAnsi="Calibri" w:cs="Times New Roman"/>
          <w:b/>
          <w:i/>
          <w:color w:val="000000"/>
          <w:sz w:val="16"/>
          <w:szCs w:val="16"/>
          <w:lang w:val="en-GB" w:eastAsia="en-GB"/>
        </w:rPr>
        <w:t>Thymus polytrichu</w:t>
      </w:r>
      <w:r w:rsidRPr="00133FD8">
        <w:rPr>
          <w:rFonts w:ascii="Calibri" w:eastAsia="Times New Roman" w:hAnsi="Calibri" w:cs="Times New Roman"/>
          <w:color w:val="000000"/>
          <w:sz w:val="16"/>
          <w:szCs w:val="16"/>
          <w:lang w:val="en-GB" w:eastAsia="en-GB"/>
        </w:rPr>
        <w:t xml:space="preserve">s (R28IMN); </w:t>
      </w:r>
      <w:r w:rsidRPr="00133FD8">
        <w:rPr>
          <w:rFonts w:ascii="Calibri" w:eastAsia="Times New Roman" w:hAnsi="Calibri" w:cs="Times New Roman"/>
          <w:i/>
          <w:color w:val="000000"/>
          <w:sz w:val="16"/>
          <w:szCs w:val="16"/>
          <w:lang w:val="en-GB" w:eastAsia="en-GB"/>
        </w:rPr>
        <w:t xml:space="preserve">Cladonia </w:t>
      </w:r>
      <w:r w:rsidRPr="00133FD8">
        <w:rPr>
          <w:rFonts w:ascii="Calibri" w:eastAsia="Times New Roman" w:hAnsi="Calibri" w:cs="Times New Roman"/>
          <w:color w:val="000000"/>
          <w:sz w:val="16"/>
          <w:szCs w:val="16"/>
          <w:lang w:val="en-GB" w:eastAsia="en-GB"/>
        </w:rPr>
        <w:t xml:space="preserve">spp. (R29IMN); </w:t>
      </w:r>
      <w:r w:rsidRPr="00133FD8">
        <w:rPr>
          <w:rFonts w:ascii="Calibri" w:eastAsia="Times New Roman" w:hAnsi="Calibri" w:cs="Times New Roman"/>
          <w:i/>
          <w:color w:val="000000"/>
          <w:sz w:val="16"/>
          <w:szCs w:val="16"/>
          <w:lang w:val="en-GB" w:eastAsia="en-GB"/>
        </w:rPr>
        <w:t>Agrostis stolonifera</w:t>
      </w:r>
      <w:r w:rsidRPr="00133FD8">
        <w:rPr>
          <w:rFonts w:ascii="Calibri" w:eastAsia="Times New Roman" w:hAnsi="Calibri" w:cs="Times New Roman"/>
          <w:color w:val="000000"/>
          <w:sz w:val="16"/>
          <w:szCs w:val="16"/>
          <w:lang w:val="en-GB" w:eastAsia="en-GB"/>
        </w:rPr>
        <w:t xml:space="preserve"> (R35IMN); </w:t>
      </w:r>
      <w:r w:rsidRPr="00133FD8">
        <w:rPr>
          <w:rFonts w:ascii="Calibri" w:eastAsia="Times New Roman" w:hAnsi="Calibri" w:cs="Times New Roman"/>
          <w:i/>
          <w:color w:val="000000"/>
          <w:sz w:val="16"/>
          <w:szCs w:val="16"/>
          <w:lang w:val="en-GB" w:eastAsia="en-GB"/>
        </w:rPr>
        <w:t>Atriplex prostrata</w:t>
      </w:r>
      <w:r w:rsidRPr="00133FD8">
        <w:rPr>
          <w:rFonts w:ascii="Calibri" w:eastAsia="Times New Roman" w:hAnsi="Calibri" w:cs="Times New Roman"/>
          <w:color w:val="000000"/>
          <w:sz w:val="16"/>
          <w:szCs w:val="16"/>
          <w:lang w:val="en-GB" w:eastAsia="en-GB"/>
        </w:rPr>
        <w:t xml:space="preserve"> (R54IMN); </w:t>
      </w:r>
      <w:r w:rsidRPr="00133FD8">
        <w:rPr>
          <w:rFonts w:ascii="Calibri" w:eastAsia="Times New Roman" w:hAnsi="Calibri" w:cs="Times New Roman"/>
          <w:i/>
          <w:color w:val="000000"/>
          <w:sz w:val="16"/>
          <w:szCs w:val="16"/>
          <w:lang w:val="en-GB" w:eastAsia="en-GB"/>
        </w:rPr>
        <w:t>Holcus lanatus, Elytrigia repens, Centaurea nigra, Ranunculus acris</w:t>
      </w:r>
      <w:r w:rsidRPr="00133FD8">
        <w:rPr>
          <w:rFonts w:ascii="Calibri" w:eastAsia="Times New Roman" w:hAnsi="Calibri" w:cs="Times New Roman"/>
          <w:color w:val="000000"/>
          <w:sz w:val="16"/>
          <w:szCs w:val="16"/>
          <w:lang w:val="en-GB" w:eastAsia="en-GB"/>
        </w:rPr>
        <w:t xml:space="preserve"> (R21IMN); </w:t>
      </w:r>
      <w:r w:rsidRPr="00133FD8">
        <w:rPr>
          <w:rFonts w:ascii="Calibri" w:eastAsia="Times New Roman" w:hAnsi="Calibri" w:cs="Times New Roman"/>
          <w:i/>
          <w:color w:val="000000"/>
          <w:sz w:val="16"/>
          <w:szCs w:val="16"/>
          <w:u w:val="single"/>
          <w:lang w:val="en-GB" w:eastAsia="en-GB"/>
        </w:rPr>
        <w:t>Phleum pratense</w:t>
      </w:r>
      <w:r w:rsidRPr="00133FD8">
        <w:rPr>
          <w:rFonts w:ascii="Calibri" w:eastAsia="Times New Roman" w:hAnsi="Calibri" w:cs="Times New Roman"/>
          <w:color w:val="000000"/>
          <w:sz w:val="16"/>
          <w:szCs w:val="16"/>
          <w:lang w:val="en-GB" w:eastAsia="en-GB"/>
        </w:rPr>
        <w:t xml:space="preserve"> (R32IMN); </w:t>
      </w:r>
      <w:r w:rsidRPr="00133FD8">
        <w:rPr>
          <w:rFonts w:ascii="Calibri" w:eastAsia="Times New Roman" w:hAnsi="Calibri" w:cs="Times New Roman"/>
          <w:i/>
          <w:color w:val="000000"/>
          <w:sz w:val="16"/>
          <w:szCs w:val="16"/>
          <w:lang w:val="en-GB" w:eastAsia="en-GB"/>
        </w:rPr>
        <w:t>Ctenidium molluscum</w:t>
      </w:r>
      <w:r w:rsidRPr="00133FD8">
        <w:rPr>
          <w:rFonts w:ascii="Calibri" w:eastAsia="Times New Roman" w:hAnsi="Calibri" w:cs="Times New Roman"/>
          <w:color w:val="000000"/>
          <w:sz w:val="16"/>
          <w:szCs w:val="16"/>
          <w:lang w:val="en-GB" w:eastAsia="en-GB"/>
        </w:rPr>
        <w:t xml:space="preserve"> (R34IMN); </w:t>
      </w:r>
      <w:r w:rsidRPr="00133FD8">
        <w:rPr>
          <w:rFonts w:ascii="Calibri" w:eastAsia="Times New Roman" w:hAnsi="Calibri" w:cs="Times New Roman"/>
          <w:i/>
          <w:color w:val="000000"/>
          <w:sz w:val="16"/>
          <w:szCs w:val="16"/>
          <w:lang w:val="en-GB" w:eastAsia="en-GB"/>
        </w:rPr>
        <w:t xml:space="preserve">Achillea millefolium, Bromus hordeaceus, </w:t>
      </w:r>
      <w:r w:rsidRPr="00133FD8">
        <w:rPr>
          <w:rFonts w:ascii="Calibri" w:eastAsia="Times New Roman" w:hAnsi="Calibri" w:cs="Times New Roman"/>
          <w:b/>
          <w:i/>
          <w:color w:val="000000"/>
          <w:sz w:val="16"/>
          <w:szCs w:val="16"/>
          <w:lang w:val="en-GB" w:eastAsia="en-GB"/>
        </w:rPr>
        <w:t>Anacamptis pyramidalis</w:t>
      </w:r>
      <w:r w:rsidRPr="00133FD8">
        <w:rPr>
          <w:rFonts w:ascii="Calibri" w:eastAsia="Times New Roman" w:hAnsi="Calibri" w:cs="Times New Roman"/>
          <w:color w:val="000000"/>
          <w:sz w:val="16"/>
          <w:szCs w:val="16"/>
          <w:lang w:val="en-GB" w:eastAsia="en-GB"/>
        </w:rPr>
        <w:t xml:space="preserve"> (R30IMN); </w:t>
      </w:r>
      <w:r w:rsidRPr="00133FD8">
        <w:rPr>
          <w:rFonts w:ascii="Calibri" w:eastAsia="Times New Roman" w:hAnsi="Calibri" w:cs="Times New Roman"/>
          <w:i/>
          <w:color w:val="000000"/>
          <w:sz w:val="16"/>
          <w:szCs w:val="16"/>
          <w:lang w:val="en-GB" w:eastAsia="en-GB"/>
        </w:rPr>
        <w:t>Leucanthemum vulgare</w:t>
      </w:r>
      <w:r w:rsidRPr="00133FD8">
        <w:rPr>
          <w:rFonts w:ascii="Calibri" w:eastAsia="Times New Roman" w:hAnsi="Calibri" w:cs="Times New Roman"/>
          <w:color w:val="000000"/>
          <w:sz w:val="16"/>
          <w:szCs w:val="16"/>
          <w:lang w:val="en-GB" w:eastAsia="en-GB"/>
        </w:rPr>
        <w:t xml:space="preserve"> (R31IMN); </w:t>
      </w:r>
      <w:r w:rsidRPr="00133FD8">
        <w:rPr>
          <w:rFonts w:ascii="Calibri" w:eastAsia="Times New Roman" w:hAnsi="Calibri" w:cs="Times New Roman"/>
          <w:i/>
          <w:color w:val="000000"/>
          <w:sz w:val="16"/>
          <w:szCs w:val="16"/>
          <w:lang w:val="en-GB" w:eastAsia="en-GB"/>
        </w:rPr>
        <w:t xml:space="preserve">Primula spp., Poa annua, Trifolium pratense, </w:t>
      </w:r>
      <w:r w:rsidRPr="00133FD8">
        <w:rPr>
          <w:rFonts w:ascii="Calibri" w:eastAsia="Times New Roman" w:hAnsi="Calibri" w:cs="Times New Roman"/>
          <w:b/>
          <w:i/>
          <w:color w:val="000000"/>
          <w:sz w:val="16"/>
          <w:szCs w:val="16"/>
          <w:lang w:val="en-GB" w:eastAsia="en-GB"/>
        </w:rPr>
        <w:t>Platanthera bifolia</w:t>
      </w:r>
      <w:r w:rsidRPr="00133FD8">
        <w:rPr>
          <w:rFonts w:ascii="Calibri" w:eastAsia="Times New Roman" w:hAnsi="Calibri" w:cs="Times New Roman"/>
          <w:color w:val="000000"/>
          <w:sz w:val="16"/>
          <w:szCs w:val="16"/>
          <w:lang w:val="en-GB" w:eastAsia="en-GB"/>
        </w:rPr>
        <w:t xml:space="preserve"> (R59IMN); </w:t>
      </w:r>
      <w:r w:rsidRPr="00133FD8">
        <w:rPr>
          <w:rFonts w:ascii="Calibri" w:eastAsia="Times New Roman" w:hAnsi="Calibri" w:cs="Times New Roman"/>
          <w:i/>
          <w:color w:val="000000"/>
          <w:sz w:val="16"/>
          <w:szCs w:val="16"/>
          <w:lang w:val="en-GB" w:eastAsia="en-GB"/>
        </w:rPr>
        <w:t>Medicago sativa, Leontodon hispidus, Sanguisorba minor</w:t>
      </w:r>
      <w:r w:rsidRPr="00133FD8">
        <w:rPr>
          <w:rFonts w:ascii="Calibri" w:eastAsia="Times New Roman" w:hAnsi="Calibri" w:cs="Times New Roman"/>
          <w:color w:val="000000"/>
          <w:sz w:val="16"/>
          <w:szCs w:val="16"/>
          <w:lang w:val="en-GB" w:eastAsia="en-GB"/>
        </w:rPr>
        <w:t xml:space="preserve"> (R14IMN*).</w:t>
      </w:r>
    </w:p>
    <w:p w:rsidR="00133FD8" w:rsidRPr="00133FD8" w:rsidRDefault="00133FD8" w:rsidP="00133FD8">
      <w:pPr>
        <w:spacing w:after="0" w:line="240" w:lineRule="auto"/>
        <w:jc w:val="both"/>
        <w:rPr>
          <w:rFonts w:ascii="Calibri" w:eastAsia="Times New Roman" w:hAnsi="Calibri" w:cs="Times New Roman"/>
          <w:color w:val="000000"/>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Machair vegetation is highly variable owing to the dynamic nature of the habitat and this is shown in the variation between machair habitat between Inis Mór and Inis Meáin (Tables 5 &amp; 6)</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Species that were only recorded machair on Inis Mór (positive indicator species in bold and negative indicator species underlined):</w:t>
      </w:r>
    </w:p>
    <w:p w:rsidR="00133FD8" w:rsidRPr="00133FD8" w:rsidRDefault="00133FD8" w:rsidP="00133FD8">
      <w:pPr>
        <w:spacing w:after="0" w:line="240" w:lineRule="auto"/>
        <w:jc w:val="both"/>
        <w:rPr>
          <w:rFonts w:ascii="Calibri" w:eastAsia="Times New Roman" w:hAnsi="Calibri" w:cs="Times New Roman"/>
          <w:i/>
          <w:color w:val="000000"/>
          <w:sz w:val="24"/>
          <w:szCs w:val="24"/>
          <w:lang w:val="en-GB" w:eastAsia="en-GB"/>
        </w:rPr>
      </w:pPr>
      <w:r w:rsidRPr="00133FD8">
        <w:rPr>
          <w:rFonts w:ascii="Calibri" w:eastAsia="Times New Roman" w:hAnsi="Calibri" w:cs="Times New Roman"/>
          <w:b/>
          <w:i/>
          <w:color w:val="000000"/>
          <w:sz w:val="24"/>
          <w:szCs w:val="24"/>
          <w:lang w:val="en-GB" w:eastAsia="en-GB"/>
        </w:rPr>
        <w:t>Viola tricolor</w:t>
      </w:r>
      <w:r w:rsidRPr="00133FD8">
        <w:rPr>
          <w:rFonts w:ascii="Calibri" w:eastAsia="Times New Roman" w:hAnsi="Calibri" w:cs="Times New Roman"/>
          <w:i/>
          <w:color w:val="000000"/>
          <w:sz w:val="24"/>
          <w:szCs w:val="24"/>
          <w:lang w:val="en-GB" w:eastAsia="en-GB"/>
        </w:rPr>
        <w:t xml:space="preserve">, </w:t>
      </w:r>
      <w:r w:rsidRPr="00133FD8">
        <w:rPr>
          <w:rFonts w:ascii="Calibri" w:eastAsia="Times New Roman" w:hAnsi="Calibri" w:cs="Times New Roman"/>
          <w:b/>
          <w:i/>
          <w:color w:val="000000"/>
          <w:sz w:val="24"/>
          <w:szCs w:val="24"/>
          <w:lang w:val="en-GB" w:eastAsia="en-GB"/>
        </w:rPr>
        <w:t>Cuscuta epithymum</w:t>
      </w:r>
      <w:r w:rsidRPr="00133FD8">
        <w:rPr>
          <w:rFonts w:ascii="Calibri" w:eastAsia="Times New Roman" w:hAnsi="Calibri" w:cs="Times New Roman"/>
          <w:i/>
          <w:color w:val="000000"/>
          <w:sz w:val="24"/>
          <w:szCs w:val="24"/>
          <w:lang w:val="en-GB" w:eastAsia="en-GB"/>
        </w:rPr>
        <w:t xml:space="preserve">, </w:t>
      </w:r>
      <w:r w:rsidRPr="00133FD8">
        <w:rPr>
          <w:rFonts w:ascii="Calibri" w:eastAsia="Times New Roman" w:hAnsi="Calibri" w:cs="Times New Roman"/>
          <w:b/>
          <w:i/>
          <w:color w:val="000000"/>
          <w:sz w:val="24"/>
          <w:szCs w:val="24"/>
          <w:lang w:val="en-GB" w:eastAsia="en-GB"/>
        </w:rPr>
        <w:t>Sedum acre, Aira praecox</w:t>
      </w:r>
      <w:r w:rsidRPr="00133FD8">
        <w:rPr>
          <w:rFonts w:ascii="Calibri" w:eastAsia="Times New Roman" w:hAnsi="Calibri" w:cs="Times New Roman"/>
          <w:i/>
          <w:color w:val="000000"/>
          <w:sz w:val="24"/>
          <w:szCs w:val="24"/>
          <w:lang w:val="en-GB" w:eastAsia="en-GB"/>
        </w:rPr>
        <w:t>, Geranium molle, Homalothecium sericeum, Hylocomium splendens, Carex distans, Prunella vulgare, Tortella tortuosa, Bellis perennis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Species that were only recorded on machair on Inis Meáin (positive indicator species in bold and negative indicator species underlined):</w:t>
      </w:r>
    </w:p>
    <w:p w:rsidR="00133FD8" w:rsidRPr="00133FD8" w:rsidRDefault="00133FD8" w:rsidP="00133FD8">
      <w:pPr>
        <w:spacing w:after="0" w:line="240" w:lineRule="auto"/>
        <w:jc w:val="both"/>
        <w:rPr>
          <w:rFonts w:ascii="Calibri" w:eastAsia="Times New Roman" w:hAnsi="Calibri" w:cs="Times New Roman"/>
          <w:i/>
          <w:color w:val="000000"/>
          <w:sz w:val="24"/>
          <w:szCs w:val="24"/>
          <w:lang w:val="en-GB" w:eastAsia="en-GB"/>
        </w:rPr>
      </w:pPr>
      <w:r w:rsidRPr="00133FD8">
        <w:rPr>
          <w:rFonts w:ascii="Calibri" w:eastAsia="Times New Roman" w:hAnsi="Calibri" w:cs="Times New Roman"/>
          <w:i/>
          <w:color w:val="000000"/>
          <w:sz w:val="24"/>
          <w:szCs w:val="24"/>
          <w:lang w:val="en-GB" w:eastAsia="en-GB"/>
        </w:rPr>
        <w:t xml:space="preserve">Ranunculus repens, Anthyllis vulneraria, Pillosella officinarum, Blackstonia perfoliata, Daucus carota, Sagina nodosa, Dicranum scoparium, Centaurea erythraea, </w:t>
      </w:r>
      <w:r w:rsidRPr="00133FD8">
        <w:rPr>
          <w:rFonts w:ascii="Calibri" w:eastAsia="Times New Roman" w:hAnsi="Calibri" w:cs="Times New Roman"/>
          <w:color w:val="000000"/>
          <w:sz w:val="24"/>
          <w:szCs w:val="24"/>
          <w:u w:val="single"/>
          <w:lang w:val="en-GB" w:eastAsia="en-GB"/>
        </w:rPr>
        <w:t>Lolium perenne</w:t>
      </w:r>
      <w:r w:rsidRPr="00133FD8">
        <w:rPr>
          <w:rFonts w:ascii="Calibri" w:eastAsia="Times New Roman" w:hAnsi="Calibri" w:cs="Times New Roman"/>
          <w:i/>
          <w:color w:val="000000"/>
          <w:sz w:val="24"/>
          <w:szCs w:val="24"/>
          <w:lang w:val="en-GB" w:eastAsia="en-GB"/>
        </w:rPr>
        <w:t xml:space="preserve">, Crepis capillaris, Taraxacum officinale, Rhytidiadelphus triquetrus, Agrostis spp., Bromus hordeaceus, Elytrigia repens, Achillea millefolium, Atriplex prostrata, Centaurea nigra, Chenopodium album, Galium saxatile, Galium spp, Geranium sanguineum, Leontodon hispidus, Leucanthemum vulgare, Medicago sativa, Primula spp, Ranunculus acris, Sanguisorba minor, Trifolium pratense, </w:t>
      </w:r>
      <w:r w:rsidRPr="00133FD8">
        <w:rPr>
          <w:rFonts w:ascii="Calibri" w:eastAsia="Times New Roman" w:hAnsi="Calibri" w:cs="Times New Roman"/>
          <w:b/>
          <w:i/>
          <w:color w:val="000000"/>
          <w:sz w:val="24"/>
          <w:szCs w:val="24"/>
          <w:lang w:val="en-GB" w:eastAsia="en-GB"/>
        </w:rPr>
        <w:t>Anacamptis pyramidalis</w:t>
      </w:r>
      <w:r w:rsidRPr="00133FD8">
        <w:rPr>
          <w:rFonts w:ascii="Calibri" w:eastAsia="Times New Roman" w:hAnsi="Calibri" w:cs="Times New Roman"/>
          <w:i/>
          <w:color w:val="000000"/>
          <w:sz w:val="24"/>
          <w:szCs w:val="24"/>
          <w:lang w:val="en-GB" w:eastAsia="en-GB"/>
        </w:rPr>
        <w:t xml:space="preserve">, </w:t>
      </w:r>
      <w:r w:rsidRPr="00133FD8">
        <w:rPr>
          <w:rFonts w:ascii="Calibri" w:eastAsia="Times New Roman" w:hAnsi="Calibri" w:cs="Times New Roman"/>
          <w:b/>
          <w:i/>
          <w:color w:val="000000"/>
          <w:sz w:val="24"/>
          <w:szCs w:val="24"/>
          <w:lang w:val="en-GB" w:eastAsia="en-GB"/>
        </w:rPr>
        <w:t>Platanthera bifolia</w:t>
      </w:r>
      <w:r w:rsidRPr="00133FD8">
        <w:rPr>
          <w:rFonts w:ascii="Calibri" w:eastAsia="Times New Roman" w:hAnsi="Calibri" w:cs="Times New Roman"/>
          <w:i/>
          <w:color w:val="000000"/>
          <w:sz w:val="24"/>
          <w:szCs w:val="24"/>
          <w:lang w:val="en-GB" w:eastAsia="en-GB"/>
        </w:rPr>
        <w:t xml:space="preserve">, Ctenidium molluscum, Cladonia spp., </w:t>
      </w:r>
      <w:r w:rsidRPr="00133FD8">
        <w:rPr>
          <w:rFonts w:ascii="Calibri" w:eastAsia="Times New Roman" w:hAnsi="Calibri" w:cs="Times New Roman"/>
          <w:b/>
          <w:i/>
          <w:color w:val="000000"/>
          <w:sz w:val="24"/>
          <w:szCs w:val="24"/>
          <w:lang w:val="en-GB" w:eastAsia="en-GB"/>
        </w:rPr>
        <w:t>Thymus polytrichum</w:t>
      </w:r>
      <w:r w:rsidRPr="00133FD8">
        <w:rPr>
          <w:rFonts w:ascii="Calibri" w:eastAsia="Times New Roman" w:hAnsi="Calibri" w:cs="Times New Roman"/>
          <w:i/>
          <w:color w:val="000000"/>
          <w:sz w:val="24"/>
          <w:szCs w:val="24"/>
          <w:lang w:val="en-GB" w:eastAsia="en-GB"/>
        </w:rPr>
        <w:t xml:space="preserve">, Leontodon autumnalis, </w:t>
      </w:r>
      <w:r w:rsidRPr="00133FD8">
        <w:rPr>
          <w:rFonts w:ascii="Calibri" w:eastAsia="Times New Roman" w:hAnsi="Calibri" w:cs="Times New Roman"/>
          <w:b/>
          <w:i/>
          <w:color w:val="000000"/>
          <w:sz w:val="24"/>
          <w:szCs w:val="24"/>
          <w:lang w:val="en-GB" w:eastAsia="en-GB"/>
        </w:rPr>
        <w:t>Rhinanthus minor</w:t>
      </w:r>
      <w:r w:rsidRPr="00133FD8">
        <w:rPr>
          <w:rFonts w:ascii="Calibri" w:eastAsia="Times New Roman" w:hAnsi="Calibri" w:cs="Times New Roman"/>
          <w:i/>
          <w:color w:val="000000"/>
          <w:sz w:val="24"/>
          <w:szCs w:val="24"/>
          <w:lang w:val="en-GB" w:eastAsia="en-GB"/>
        </w:rPr>
        <w:t>, Stellaria media.</w:t>
      </w:r>
    </w:p>
    <w:p w:rsidR="00133FD8" w:rsidRPr="00133FD8" w:rsidRDefault="00133FD8" w:rsidP="00133FD8">
      <w:pPr>
        <w:spacing w:after="0" w:line="240" w:lineRule="auto"/>
        <w:jc w:val="both"/>
        <w:rPr>
          <w:rFonts w:ascii="Calibri" w:eastAsia="Times New Roman" w:hAnsi="Calibri" w:cs="Times New Roman"/>
          <w:color w:val="000000"/>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br w:type="page"/>
      </w:r>
    </w:p>
    <w:p w:rsidR="00133FD8" w:rsidRPr="00133FD8" w:rsidRDefault="00133FD8" w:rsidP="00133FD8">
      <w:pPr>
        <w:keepNext/>
        <w:keepLines/>
        <w:spacing w:before="200" w:after="0"/>
        <w:outlineLvl w:val="1"/>
        <w:rPr>
          <w:rFonts w:ascii="Cambria" w:eastAsia="Times New Roman" w:hAnsi="Cambria" w:cs="Times New Roman"/>
          <w:bCs/>
          <w:color w:val="4F81BD"/>
          <w:sz w:val="26"/>
          <w:szCs w:val="26"/>
          <w:lang w:val="en-GB"/>
        </w:rPr>
      </w:pPr>
      <w:bookmarkStart w:id="14" w:name="_Toc3284613"/>
      <w:r w:rsidRPr="00133FD8">
        <w:rPr>
          <w:rFonts w:ascii="Cambria" w:eastAsia="Times New Roman" w:hAnsi="Cambria" w:cs="Times New Roman"/>
          <w:bCs/>
          <w:color w:val="4F81BD"/>
          <w:sz w:val="26"/>
          <w:szCs w:val="26"/>
          <w:lang w:val="en-GB"/>
        </w:rPr>
        <w:lastRenderedPageBreak/>
        <w:t>Dry matter yields in machair plots</w:t>
      </w:r>
      <w:bookmarkEnd w:id="14"/>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Forage samples were collected throughout the plots and in adjacent control areas and the dry matter yields of the vegetation were calculated (Fig. 7).</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dry matter yield is greater in the seaweed plots than in the corresponding untreated areas: Plot2 PN1, Plot 8 RC1, </w:t>
      </w:r>
      <w:proofErr w:type="gramStart"/>
      <w:r w:rsidRPr="00133FD8">
        <w:rPr>
          <w:rFonts w:ascii="Times New Roman" w:eastAsia="Times New Roman" w:hAnsi="Times New Roman" w:cs="Times New Roman"/>
          <w:sz w:val="24"/>
          <w:szCs w:val="24"/>
          <w:lang w:val="en-GB" w:eastAsia="en-GB"/>
        </w:rPr>
        <w:t>Plot</w:t>
      </w:r>
      <w:proofErr w:type="gramEnd"/>
      <w:r w:rsidRPr="00133FD8">
        <w:rPr>
          <w:rFonts w:ascii="Times New Roman" w:eastAsia="Times New Roman" w:hAnsi="Times New Roman" w:cs="Times New Roman"/>
          <w:sz w:val="24"/>
          <w:szCs w:val="24"/>
          <w:lang w:val="en-GB" w:eastAsia="en-GB"/>
        </w:rPr>
        <w:t xml:space="preserve"> 9 RC2 (Fig. 7).</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In Plot 3 PN2, the adjacent untreated area is badly eroded and lacks vegetation cover and a forage sample was not possible, this was also the case for Plot 11SOD 1. Forage sample was not collected from the untreated area of Plot 11 SOD1 (Fig. 7).</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In Plot 10, the area treated with seaweed had particularly sparse vegetation cover, whereas adjacent areas had more vegetation cover, and hence greater dry matter yield (Fig 7).</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The Inis Mór plots at Trá Mór (Plots 1, 2 and 3) are subject to considerable grazing pressure from rabbits which are impacting on the dry matter yields in both treated and untreated areas. Rabbits are also becoming more frequent on the Inis Meáin machair (Plots 7 to 11).</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noProof/>
          <w:sz w:val="24"/>
          <w:szCs w:val="24"/>
          <w:lang w:val="en-GB" w:eastAsia="en-GB"/>
        </w:rPr>
        <w:drawing>
          <wp:inline distT="0" distB="0" distL="0" distR="0" wp14:anchorId="678D0E4C" wp14:editId="296A57F2">
            <wp:extent cx="4572000" cy="2743200"/>
            <wp:effectExtent l="0" t="0" r="1905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Fig. 7.</w:t>
      </w:r>
      <w:proofErr w:type="gramEnd"/>
      <w:r w:rsidRPr="00133FD8">
        <w:rPr>
          <w:rFonts w:ascii="Times New Roman" w:eastAsia="Times New Roman" w:hAnsi="Times New Roman" w:cs="Times New Roman"/>
          <w:sz w:val="24"/>
          <w:szCs w:val="24"/>
          <w:lang w:val="en-GB" w:eastAsia="en-GB"/>
        </w:rPr>
        <w:t xml:space="preserve"> Dry matter yields in seaweed plots (green columns) and adjacent control areas (yellow columns)</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b/>
          <w:sz w:val="24"/>
          <w:szCs w:val="24"/>
          <w:lang w:val="en-GB" w:eastAsia="en-GB"/>
        </w:rPr>
        <w:br w:type="page"/>
      </w:r>
    </w:p>
    <w:p w:rsidR="00133FD8" w:rsidRPr="00133FD8" w:rsidRDefault="00133FD8" w:rsidP="00133FD8">
      <w:pPr>
        <w:keepNext/>
        <w:keepLines/>
        <w:spacing w:before="200" w:after="0"/>
        <w:outlineLvl w:val="1"/>
        <w:rPr>
          <w:rFonts w:ascii="Cambria" w:eastAsia="Times New Roman" w:hAnsi="Cambria" w:cs="Times New Roman"/>
          <w:bCs/>
          <w:color w:val="4F81BD"/>
          <w:sz w:val="26"/>
          <w:szCs w:val="26"/>
          <w:lang w:val="en-GB"/>
        </w:rPr>
      </w:pPr>
      <w:bookmarkStart w:id="15" w:name="_Toc3284614"/>
      <w:r w:rsidRPr="00133FD8">
        <w:rPr>
          <w:rFonts w:ascii="Cambria" w:eastAsia="Times New Roman" w:hAnsi="Cambria" w:cs="Times New Roman"/>
          <w:bCs/>
          <w:color w:val="4F81BD"/>
          <w:sz w:val="26"/>
          <w:szCs w:val="26"/>
          <w:lang w:val="en-GB"/>
        </w:rPr>
        <w:lastRenderedPageBreak/>
        <w:t>Soils</w:t>
      </w:r>
      <w:bookmarkEnd w:id="15"/>
      <w:r w:rsidRPr="00133FD8">
        <w:rPr>
          <w:rFonts w:ascii="Cambria" w:eastAsia="Times New Roman" w:hAnsi="Cambria" w:cs="Times New Roman"/>
          <w:bCs/>
          <w:color w:val="4F81BD"/>
          <w:sz w:val="26"/>
          <w:szCs w:val="26"/>
          <w:lang w:val="en-GB"/>
        </w:rPr>
        <w:t xml:space="preserve"> </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Machair soils within seaweed plots and in adjacent non-seaweed areas were analysed for Phosphorus, Potassium and Magnesium (Table 7). Morgan’s method is the conventional method for analysing mineral </w:t>
      </w:r>
      <w:proofErr w:type="gramStart"/>
      <w:r w:rsidRPr="00133FD8">
        <w:rPr>
          <w:rFonts w:ascii="Times New Roman" w:eastAsia="Times New Roman" w:hAnsi="Times New Roman" w:cs="Times New Roman"/>
          <w:sz w:val="24"/>
          <w:szCs w:val="24"/>
          <w:lang w:val="en-GB" w:eastAsia="en-GB"/>
        </w:rPr>
        <w:t>soils,</w:t>
      </w:r>
      <w:proofErr w:type="gramEnd"/>
      <w:r w:rsidRPr="00133FD8">
        <w:rPr>
          <w:rFonts w:ascii="Times New Roman" w:eastAsia="Times New Roman" w:hAnsi="Times New Roman" w:cs="Times New Roman"/>
          <w:sz w:val="24"/>
          <w:szCs w:val="24"/>
          <w:lang w:val="en-GB" w:eastAsia="en-GB"/>
        </w:rPr>
        <w:t xml:space="preserve"> however, uncharacteristically high levels of Phosphourus were recorded using Morgans method in these soils as this method is unsuitable for soils with high pH such as occurs in machair soils. Subsequent samples analysed using Olsen’s method yielded more realistic results.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Table 7.</w:t>
      </w:r>
      <w:proofErr w:type="gramEnd"/>
      <w:r w:rsidRPr="00133FD8">
        <w:rPr>
          <w:rFonts w:ascii="Times New Roman" w:eastAsia="Times New Roman" w:hAnsi="Times New Roman" w:cs="Times New Roman"/>
          <w:sz w:val="24"/>
          <w:szCs w:val="24"/>
          <w:lang w:val="en-GB" w:eastAsia="en-GB"/>
        </w:rPr>
        <w:t xml:space="preserve"> The following table shows the results of soil analyses both inside the seaweed plots (green) and in adjacent areas (yellow). The values in the brackets are indices.</w:t>
      </w:r>
    </w:p>
    <w:tbl>
      <w:tblPr>
        <w:tblW w:w="6364"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1098"/>
        <w:gridCol w:w="960"/>
        <w:gridCol w:w="960"/>
        <w:gridCol w:w="968"/>
        <w:gridCol w:w="960"/>
      </w:tblGrid>
      <w:tr w:rsidR="00133FD8" w:rsidRPr="00133FD8" w:rsidTr="001C25CC">
        <w:trPr>
          <w:trHeight w:val="300"/>
        </w:trPr>
        <w:tc>
          <w:tcPr>
            <w:tcW w:w="1500" w:type="dxa"/>
            <w:shd w:val="clear" w:color="auto" w:fill="auto"/>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Plot</w:t>
            </w:r>
          </w:p>
        </w:tc>
        <w:tc>
          <w:tcPr>
            <w:tcW w:w="1024" w:type="dxa"/>
            <w:shd w:val="clear" w:color="auto" w:fill="auto"/>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Seaweed Y/N</w:t>
            </w:r>
          </w:p>
        </w:tc>
        <w:tc>
          <w:tcPr>
            <w:tcW w:w="960" w:type="dxa"/>
            <w:shd w:val="clear" w:color="auto" w:fill="auto"/>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pH</w:t>
            </w:r>
          </w:p>
        </w:tc>
        <w:tc>
          <w:tcPr>
            <w:tcW w:w="960" w:type="dxa"/>
            <w:shd w:val="clear" w:color="auto" w:fill="auto"/>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 (ppm)</w:t>
            </w:r>
          </w:p>
        </w:tc>
        <w:tc>
          <w:tcPr>
            <w:tcW w:w="960" w:type="dxa"/>
            <w:shd w:val="clear" w:color="auto" w:fill="auto"/>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K (ppm)</w:t>
            </w:r>
          </w:p>
        </w:tc>
        <w:tc>
          <w:tcPr>
            <w:tcW w:w="960" w:type="dxa"/>
            <w:shd w:val="clear" w:color="auto" w:fill="auto"/>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Mg (ppm)</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Plot1 CS1</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8</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4(0)</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126(2-)</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207(4)</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Plot1 CS1</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7.8</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82(1)</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178(4)</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2 PN1</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7.8</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4(0)</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219(2+)</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161(3)</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2 PN1</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8.1</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2(0)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83(1)</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147(3)</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Plot3 PN2</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7.5</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8(0)</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76(1)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180(4)</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3 PN2</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8</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6(0)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35(0)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169(3)</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7 PM1</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7.8</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13(1)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507(4)</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180(4)</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7 PM1</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7.6</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4(0)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94(1)</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122 (3)</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8 RC1</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8.1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5(0)</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76(1)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127(3)</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Plot 8 RC1</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7.8</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3(0)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77(1)</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120(3)</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9 RC2</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8.1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3(0)</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87(1)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116(3)</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Plot 9 RC2</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8</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3(0)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44(0)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109(3)</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 10 RC3</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8</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5(0)</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71(1)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116(3)</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Plot 10 RC3</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8</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2(0)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31(0)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109(3)</w:t>
            </w:r>
          </w:p>
        </w:tc>
      </w:tr>
      <w:tr w:rsidR="00133FD8" w:rsidRPr="00133FD8" w:rsidTr="001C25CC">
        <w:trPr>
          <w:trHeight w:val="300"/>
        </w:trPr>
        <w:tc>
          <w:tcPr>
            <w:tcW w:w="1500" w:type="dxa"/>
            <w:shd w:val="clear" w:color="000000" w:fill="9BBB59"/>
            <w:noWrap/>
            <w:vAlign w:val="bottom"/>
            <w:hideMark/>
          </w:tcPr>
          <w:p w:rsidR="00133FD8" w:rsidRPr="00133FD8" w:rsidRDefault="00133FD8" w:rsidP="00133FD8">
            <w:pPr>
              <w:spacing w:after="0" w:line="240" w:lineRule="auto"/>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Plot11 SOD1</w:t>
            </w:r>
          </w:p>
        </w:tc>
        <w:tc>
          <w:tcPr>
            <w:tcW w:w="1024"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Y</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8.1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11(1)</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36(0)</w:t>
            </w:r>
          </w:p>
        </w:tc>
        <w:tc>
          <w:tcPr>
            <w:tcW w:w="960" w:type="dxa"/>
            <w:shd w:val="clear" w:color="000000" w:fill="9BBB59"/>
            <w:noWrap/>
            <w:vAlign w:val="bottom"/>
            <w:hideMark/>
          </w:tcPr>
          <w:p w:rsidR="00133FD8" w:rsidRPr="00133FD8" w:rsidRDefault="00133FD8" w:rsidP="00133FD8">
            <w:pPr>
              <w:spacing w:after="0" w:line="240" w:lineRule="auto"/>
              <w:jc w:val="center"/>
              <w:rPr>
                <w:rFonts w:ascii="Calibri" w:eastAsia="Times New Roman" w:hAnsi="Calibri" w:cs="Times New Roman"/>
                <w:b/>
                <w:bCs/>
                <w:color w:val="000000"/>
                <w:sz w:val="24"/>
                <w:szCs w:val="24"/>
                <w:lang w:val="en-GB" w:eastAsia="en-GB"/>
              </w:rPr>
            </w:pPr>
            <w:r w:rsidRPr="00133FD8">
              <w:rPr>
                <w:rFonts w:ascii="Calibri" w:eastAsia="Times New Roman" w:hAnsi="Calibri" w:cs="Times New Roman"/>
                <w:b/>
                <w:bCs/>
                <w:color w:val="000000"/>
                <w:sz w:val="24"/>
                <w:szCs w:val="24"/>
                <w:lang w:val="en-GB" w:eastAsia="en-GB"/>
              </w:rPr>
              <w:t>130(3)</w:t>
            </w:r>
          </w:p>
        </w:tc>
      </w:tr>
      <w:tr w:rsidR="00133FD8" w:rsidRPr="00133FD8" w:rsidTr="001C25CC">
        <w:trPr>
          <w:trHeight w:val="300"/>
        </w:trPr>
        <w:tc>
          <w:tcPr>
            <w:tcW w:w="1500" w:type="dxa"/>
            <w:shd w:val="clear" w:color="000000" w:fill="FFFF00"/>
            <w:noWrap/>
            <w:vAlign w:val="bottom"/>
            <w:hideMark/>
          </w:tcPr>
          <w:p w:rsidR="00133FD8" w:rsidRPr="00133FD8" w:rsidRDefault="00133FD8" w:rsidP="00133FD8">
            <w:pPr>
              <w:spacing w:after="0" w:line="240" w:lineRule="auto"/>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Plot11 SOD1</w:t>
            </w:r>
          </w:p>
        </w:tc>
        <w:tc>
          <w:tcPr>
            <w:tcW w:w="1024"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N</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7.7</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3(0)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54(0)</w:t>
            </w:r>
          </w:p>
        </w:tc>
        <w:tc>
          <w:tcPr>
            <w:tcW w:w="960" w:type="dxa"/>
            <w:shd w:val="clear" w:color="000000" w:fill="FFFF00"/>
            <w:noWrap/>
            <w:vAlign w:val="bottom"/>
            <w:hideMark/>
          </w:tcPr>
          <w:p w:rsidR="00133FD8" w:rsidRPr="00133FD8" w:rsidRDefault="00133FD8" w:rsidP="00133FD8">
            <w:pPr>
              <w:spacing w:after="0" w:line="240" w:lineRule="auto"/>
              <w:jc w:val="center"/>
              <w:rPr>
                <w:rFonts w:ascii="Calibri" w:eastAsia="Times New Roman" w:hAnsi="Calibri" w:cs="Times New Roman"/>
                <w:color w:val="000000"/>
                <w:sz w:val="24"/>
                <w:szCs w:val="24"/>
                <w:lang w:val="en-GB" w:eastAsia="en-GB"/>
              </w:rPr>
            </w:pPr>
            <w:r w:rsidRPr="00133FD8">
              <w:rPr>
                <w:rFonts w:ascii="Calibri" w:eastAsia="Times New Roman" w:hAnsi="Calibri" w:cs="Times New Roman"/>
                <w:color w:val="000000"/>
                <w:sz w:val="24"/>
                <w:szCs w:val="24"/>
                <w:lang w:val="en-GB" w:eastAsia="en-GB"/>
              </w:rPr>
              <w:t>129(3)</w:t>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Using the Teagasc soil index system (Table 8) (</w:t>
      </w:r>
      <w:r w:rsidRPr="00133FD8">
        <w:rPr>
          <w:rFonts w:ascii="Segoe UI" w:eastAsia="Times New Roman" w:hAnsi="Segoe UI" w:cs="Segoe UI"/>
          <w:color w:val="000000"/>
          <w:sz w:val="20"/>
          <w:szCs w:val="20"/>
          <w:lang w:val="en-GB" w:eastAsia="en-GB"/>
        </w:rPr>
        <w:t>http://www.teagasc.ie/soil/analysis/index_system.asp)</w:t>
      </w:r>
    </w:p>
    <w:tbl>
      <w:tblPr>
        <w:tblW w:w="4000" w:type="pct"/>
        <w:tblCellSpacing w:w="15" w:type="dxa"/>
        <w:tblInd w:w="144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444"/>
        <w:gridCol w:w="2429"/>
        <w:gridCol w:w="2444"/>
      </w:tblGrid>
      <w:tr w:rsidR="00133FD8" w:rsidRPr="00133FD8" w:rsidTr="001C25CC">
        <w:trPr>
          <w:tblCellSpacing w:w="15" w:type="dxa"/>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b/>
                <w:bCs/>
                <w:sz w:val="24"/>
                <w:szCs w:val="24"/>
                <w:lang w:val="en-GB" w:eastAsia="en-GB"/>
              </w:rPr>
            </w:pPr>
            <w:r w:rsidRPr="00133FD8">
              <w:rPr>
                <w:rFonts w:ascii="Times New Roman" w:eastAsia="Times New Roman" w:hAnsi="Times New Roman" w:cs="Times New Roman"/>
                <w:b/>
                <w:bCs/>
                <w:sz w:val="24"/>
                <w:szCs w:val="24"/>
                <w:lang w:val="en-GB" w:eastAsia="en-GB"/>
              </w:rPr>
              <w:t>Table 8: The Soil Index System</w:t>
            </w:r>
          </w:p>
        </w:tc>
      </w:tr>
      <w:tr w:rsidR="00133FD8" w:rsidRPr="00133FD8" w:rsidTr="001C25CC">
        <w:trPr>
          <w:tblCellSpacing w:w="15" w:type="dxa"/>
        </w:trPr>
        <w:tc>
          <w:tcPr>
            <w:tcW w:w="1639" w:type="pct"/>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b/>
                <w:bCs/>
                <w:sz w:val="24"/>
                <w:szCs w:val="24"/>
                <w:lang w:val="en-GB" w:eastAsia="en-GB"/>
              </w:rPr>
            </w:pPr>
            <w:r w:rsidRPr="00133FD8">
              <w:rPr>
                <w:rFonts w:ascii="Times New Roman" w:eastAsia="Times New Roman" w:hAnsi="Times New Roman" w:cs="Times New Roman"/>
                <w:b/>
                <w:bCs/>
                <w:sz w:val="24"/>
                <w:szCs w:val="24"/>
                <w:lang w:val="en-GB" w:eastAsia="en-GB"/>
              </w:rPr>
              <w:t>Soil Index</w:t>
            </w:r>
          </w:p>
        </w:tc>
        <w:tc>
          <w:tcPr>
            <w:tcW w:w="1639" w:type="pct"/>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b/>
                <w:bCs/>
                <w:sz w:val="24"/>
                <w:szCs w:val="24"/>
                <w:lang w:val="en-GB" w:eastAsia="en-GB"/>
              </w:rPr>
            </w:pPr>
            <w:r w:rsidRPr="00133FD8">
              <w:rPr>
                <w:rFonts w:ascii="Times New Roman" w:eastAsia="Times New Roman" w:hAnsi="Times New Roman" w:cs="Times New Roman"/>
                <w:b/>
                <w:bCs/>
                <w:sz w:val="24"/>
                <w:szCs w:val="24"/>
                <w:lang w:val="en-GB" w:eastAsia="en-GB"/>
              </w:rPr>
              <w:t>Index Description</w:t>
            </w:r>
          </w:p>
        </w:tc>
        <w:tc>
          <w:tcPr>
            <w:tcW w:w="1639" w:type="pct"/>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b/>
                <w:bCs/>
                <w:sz w:val="24"/>
                <w:szCs w:val="24"/>
                <w:lang w:val="en-GB" w:eastAsia="en-GB"/>
              </w:rPr>
            </w:pPr>
            <w:r w:rsidRPr="00133FD8">
              <w:rPr>
                <w:rFonts w:ascii="Times New Roman" w:eastAsia="Times New Roman" w:hAnsi="Times New Roman" w:cs="Times New Roman"/>
                <w:b/>
                <w:bCs/>
                <w:sz w:val="24"/>
                <w:szCs w:val="24"/>
                <w:lang w:val="en-GB" w:eastAsia="en-GB"/>
              </w:rPr>
              <w:t>Response to Fertilisers</w:t>
            </w:r>
          </w:p>
        </w:tc>
      </w:tr>
      <w:tr w:rsidR="00133FD8" w:rsidRPr="00133FD8" w:rsidTr="001C25CC">
        <w:trPr>
          <w:trHeight w:val="16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165" w:lineRule="atLeast"/>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165" w:lineRule="atLeast"/>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Very Low</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165" w:lineRule="atLeast"/>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Definite</w:t>
            </w:r>
          </w:p>
        </w:tc>
      </w:tr>
      <w:tr w:rsidR="00133FD8" w:rsidRPr="00133FD8" w:rsidTr="001C25C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Low</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Likely</w:t>
            </w:r>
          </w:p>
        </w:tc>
      </w:tr>
      <w:tr w:rsidR="00133FD8" w:rsidRPr="00133FD8" w:rsidTr="001C25C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Medium</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Unlikely/Tenuous</w:t>
            </w:r>
          </w:p>
        </w:tc>
      </w:tr>
      <w:tr w:rsidR="00133FD8" w:rsidRPr="00133FD8" w:rsidTr="001C25C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Sufficient/Excess</w:t>
            </w:r>
          </w:p>
        </w:tc>
        <w:tc>
          <w:tcPr>
            <w:tcW w:w="0" w:type="auto"/>
            <w:tcBorders>
              <w:top w:val="outset" w:sz="6" w:space="0" w:color="auto"/>
              <w:left w:val="outset" w:sz="6" w:space="0" w:color="auto"/>
              <w:bottom w:val="outset" w:sz="6" w:space="0" w:color="auto"/>
              <w:right w:val="outset" w:sz="6" w:space="0" w:color="auto"/>
            </w:tcBorders>
            <w:vAlign w:val="center"/>
            <w:hideMark/>
          </w:tcPr>
          <w:p w:rsidR="00133FD8" w:rsidRPr="00133FD8" w:rsidRDefault="00133FD8" w:rsidP="00133FD8">
            <w:pPr>
              <w:spacing w:after="0" w:line="240" w:lineRule="auto"/>
              <w:jc w:val="center"/>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None</w:t>
            </w:r>
          </w:p>
        </w:tc>
      </w:tr>
    </w:tbl>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The machair </w:t>
      </w:r>
      <w:proofErr w:type="gramStart"/>
      <w:r w:rsidRPr="00133FD8">
        <w:rPr>
          <w:rFonts w:ascii="Times New Roman" w:eastAsia="Times New Roman" w:hAnsi="Times New Roman" w:cs="Times New Roman"/>
          <w:sz w:val="24"/>
          <w:szCs w:val="24"/>
          <w:lang w:val="en-GB" w:eastAsia="en-GB"/>
        </w:rPr>
        <w:t>soils  have</w:t>
      </w:r>
      <w:proofErr w:type="gramEnd"/>
      <w:r w:rsidRPr="00133FD8">
        <w:rPr>
          <w:rFonts w:ascii="Times New Roman" w:eastAsia="Times New Roman" w:hAnsi="Times New Roman" w:cs="Times New Roman"/>
          <w:sz w:val="24"/>
          <w:szCs w:val="24"/>
          <w:lang w:val="en-GB" w:eastAsia="en-GB"/>
        </w:rPr>
        <w:t xml:space="preserve"> a high pH,  and are very low in Phosphorous. Low potash is also a feature of these soils as are high magnesium levels (Table 7 &amp; 8).</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keepNext/>
        <w:keepLines/>
        <w:spacing w:before="480" w:after="0"/>
        <w:outlineLvl w:val="0"/>
        <w:rPr>
          <w:rFonts w:ascii="Cambria" w:eastAsia="Times New Roman" w:hAnsi="Cambria" w:cs="Times New Roman"/>
          <w:bCs/>
          <w:color w:val="365F91"/>
          <w:sz w:val="28"/>
          <w:szCs w:val="28"/>
          <w:lang w:val="en-GB"/>
        </w:rPr>
      </w:pPr>
      <w:bookmarkStart w:id="16" w:name="_Toc3284615"/>
      <w:r w:rsidRPr="00133FD8">
        <w:rPr>
          <w:rFonts w:ascii="Cambria" w:eastAsia="Times New Roman" w:hAnsi="Cambria" w:cs="Times New Roman"/>
          <w:bCs/>
          <w:color w:val="365F91"/>
          <w:sz w:val="28"/>
          <w:szCs w:val="28"/>
          <w:lang w:val="en-GB"/>
        </w:rPr>
        <w:t>Conclusions</w:t>
      </w:r>
      <w:bookmarkEnd w:id="16"/>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After the first year and phase 1 of the seaweed treatment trial of machair on Inis Meáin and Inis Mór, it is apparent that the application of seaweed is having a positive effect of </w:t>
      </w:r>
      <w:r w:rsidRPr="00133FD8">
        <w:rPr>
          <w:rFonts w:ascii="Times New Roman" w:eastAsia="Times New Roman" w:hAnsi="Times New Roman" w:cs="Times New Roman"/>
          <w:sz w:val="24"/>
          <w:szCs w:val="24"/>
          <w:lang w:val="en-GB" w:eastAsia="en-GB"/>
        </w:rPr>
        <w:lastRenderedPageBreak/>
        <w:t>increasing vegetation cover in areas that are bare and exposed. Machair soils have poor water retention capabilities and hence are prone to leaching nutrients. The application of seaweed improves the water retention of the soil and adds organic matter which facilitates the colonising of bare sand areas and the development of vegetation cover.</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From the results presented here it is unclear as yet, the effects of seaweed on areas with complete vegetation cover, in some plots there appears to be some reduction in </w:t>
      </w:r>
      <w:r w:rsidRPr="00133FD8">
        <w:rPr>
          <w:rFonts w:ascii="Times New Roman" w:eastAsia="Times New Roman" w:hAnsi="Times New Roman" w:cs="Times New Roman"/>
          <w:i/>
          <w:sz w:val="24"/>
          <w:szCs w:val="24"/>
          <w:lang w:val="en-GB" w:eastAsia="en-GB"/>
        </w:rPr>
        <w:t>Rhytidiadelphus squarrosus</w:t>
      </w:r>
      <w:r w:rsidRPr="00133FD8">
        <w:rPr>
          <w:rFonts w:ascii="Times New Roman" w:eastAsia="Times New Roman" w:hAnsi="Times New Roman" w:cs="Times New Roman"/>
          <w:sz w:val="24"/>
          <w:szCs w:val="24"/>
          <w:lang w:val="en-GB" w:eastAsia="en-GB"/>
        </w:rPr>
        <w:t>, however, the cover of bryophytes in all of the vegetated plots is still high both in the seaweed treated and untreated areas. Positive indicator species are frequent in both untreated and treated sites and negative indicator species are not abundant at any of the plots.</w:t>
      </w:r>
    </w:p>
    <w:p w:rsidR="00133FD8" w:rsidRPr="00133FD8" w:rsidRDefault="00133FD8" w:rsidP="00133FD8">
      <w:pPr>
        <w:spacing w:after="0" w:line="240" w:lineRule="auto"/>
        <w:jc w:val="both"/>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t xml:space="preserve">Phase 2 of the trials will involve the reapplication of seaweed in existing plots, the selection of new plots as well as the monitoring of seaweed application on plots at Kilmurvey, Inis Mór which took place in October 2015. Following on from the mollusc study of proposed plots at Kilmurvey and the other the other plot sites it is evident that existing habitat is as yet unsuitable for </w:t>
      </w:r>
      <w:r w:rsidRPr="00133FD8">
        <w:rPr>
          <w:rFonts w:ascii="Times New Roman" w:eastAsia="Times New Roman" w:hAnsi="Times New Roman" w:cs="Times New Roman"/>
          <w:i/>
          <w:sz w:val="24"/>
          <w:szCs w:val="24"/>
          <w:lang w:val="en-GB" w:eastAsia="en-GB"/>
        </w:rPr>
        <w:t xml:space="preserve">Vertigo angustior </w:t>
      </w:r>
      <w:r w:rsidRPr="00133FD8">
        <w:rPr>
          <w:rFonts w:ascii="Times New Roman" w:eastAsia="Times New Roman" w:hAnsi="Times New Roman" w:cs="Times New Roman"/>
          <w:sz w:val="24"/>
          <w:szCs w:val="24"/>
          <w:lang w:val="en-GB" w:eastAsia="en-GB"/>
        </w:rPr>
        <w:t>(Browne 2016) (Appendix 4), the effects of seaweed application on the mollusc communities of the Inis Meáin and Inis Mór will be continued to be monitored over the course of the project.</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r w:rsidRPr="00133FD8">
        <w:rPr>
          <w:rFonts w:ascii="Times New Roman" w:eastAsia="Times New Roman" w:hAnsi="Times New Roman" w:cs="Times New Roman"/>
          <w:sz w:val="24"/>
          <w:szCs w:val="24"/>
          <w:lang w:val="en-GB" w:eastAsia="en-GB"/>
        </w:rPr>
        <w:br w:type="page"/>
      </w:r>
    </w:p>
    <w:p w:rsidR="00133FD8" w:rsidRPr="00133FD8" w:rsidRDefault="00133FD8" w:rsidP="00133FD8">
      <w:pPr>
        <w:keepNext/>
        <w:keepLines/>
        <w:spacing w:before="480" w:after="0"/>
        <w:outlineLvl w:val="0"/>
        <w:rPr>
          <w:rFonts w:ascii="Cambria" w:eastAsia="Times New Roman" w:hAnsi="Cambria" w:cs="Times New Roman"/>
          <w:bCs/>
          <w:color w:val="365F91"/>
          <w:sz w:val="28"/>
          <w:szCs w:val="28"/>
          <w:lang w:val="en-GB"/>
        </w:rPr>
      </w:pPr>
      <w:bookmarkStart w:id="17" w:name="_Toc3284616"/>
      <w:r w:rsidRPr="00133FD8">
        <w:rPr>
          <w:rFonts w:ascii="Cambria" w:eastAsia="Times New Roman" w:hAnsi="Cambria" w:cs="Times New Roman"/>
          <w:bCs/>
          <w:color w:val="365F91"/>
          <w:sz w:val="28"/>
          <w:szCs w:val="28"/>
          <w:lang w:val="en-GB"/>
        </w:rPr>
        <w:lastRenderedPageBreak/>
        <w:t>References</w:t>
      </w:r>
      <w:bookmarkEnd w:id="17"/>
    </w:p>
    <w:p w:rsidR="00133FD8" w:rsidRPr="00D036A9" w:rsidRDefault="00133FD8" w:rsidP="00133FD8">
      <w:pPr>
        <w:spacing w:after="0" w:line="240" w:lineRule="auto"/>
        <w:rPr>
          <w:rFonts w:ascii="Times New Roman" w:eastAsia="Times New Roman" w:hAnsi="Times New Roman" w:cs="Times New Roman"/>
          <w:sz w:val="24"/>
          <w:szCs w:val="24"/>
          <w:lang w:val="en-GB" w:eastAsia="en-GB"/>
        </w:rPr>
      </w:pPr>
      <w:bookmarkStart w:id="18" w:name="_Toc441614516"/>
      <w:proofErr w:type="gramStart"/>
      <w:r w:rsidRPr="00D036A9">
        <w:rPr>
          <w:rFonts w:ascii="Times New Roman" w:eastAsia="Times New Roman" w:hAnsi="Times New Roman" w:cs="Times New Roman"/>
          <w:sz w:val="24"/>
          <w:szCs w:val="24"/>
          <w:lang w:val="en-GB" w:eastAsia="en-GB"/>
        </w:rPr>
        <w:t xml:space="preserve">Browne, N. (2016) First monitoring survey for </w:t>
      </w:r>
      <w:r w:rsidRPr="00D036A9">
        <w:rPr>
          <w:rFonts w:ascii="Times New Roman" w:eastAsia="Times New Roman" w:hAnsi="Times New Roman" w:cs="Times New Roman"/>
          <w:i/>
          <w:sz w:val="24"/>
          <w:szCs w:val="24"/>
          <w:lang w:val="en-GB" w:eastAsia="en-GB"/>
        </w:rPr>
        <w:t>Vertigo angustior</w:t>
      </w:r>
      <w:r w:rsidRPr="00D036A9">
        <w:rPr>
          <w:rFonts w:ascii="Times New Roman" w:eastAsia="Times New Roman" w:hAnsi="Times New Roman" w:cs="Times New Roman"/>
          <w:sz w:val="24"/>
          <w:szCs w:val="24"/>
          <w:lang w:val="en-GB" w:eastAsia="en-GB"/>
        </w:rPr>
        <w:t xml:space="preserve"> and other molluscs at sites chosen for seaweed application trials, AranLIFE project – 2015 survey.</w:t>
      </w:r>
      <w:bookmarkEnd w:id="18"/>
      <w:proofErr w:type="gramEnd"/>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Delaney, A. Devaney, F.M., Martin, J.M. and Barron, S.J. (2013).</w:t>
      </w:r>
      <w:proofErr w:type="gramEnd"/>
      <w:r w:rsidRPr="00133FD8">
        <w:rPr>
          <w:rFonts w:ascii="Times New Roman" w:eastAsia="Times New Roman" w:hAnsi="Times New Roman" w:cs="Times New Roman"/>
          <w:sz w:val="24"/>
          <w:szCs w:val="24"/>
          <w:lang w:val="en-GB" w:eastAsia="en-GB"/>
        </w:rPr>
        <w:t xml:space="preserve"> </w:t>
      </w:r>
      <w:proofErr w:type="gramStart"/>
      <w:r w:rsidRPr="00133FD8">
        <w:rPr>
          <w:rFonts w:ascii="Times New Roman" w:eastAsia="Times New Roman" w:hAnsi="Times New Roman" w:cs="Times New Roman"/>
          <w:sz w:val="24"/>
          <w:szCs w:val="24"/>
          <w:lang w:val="en-GB" w:eastAsia="en-GB"/>
        </w:rPr>
        <w:t>Monitoring survey of AnnexI sand dune habitats in Ireland.</w:t>
      </w:r>
      <w:proofErr w:type="gramEnd"/>
      <w:r w:rsidRPr="00133FD8">
        <w:rPr>
          <w:rFonts w:ascii="Times New Roman" w:eastAsia="Times New Roman" w:hAnsi="Times New Roman" w:cs="Times New Roman"/>
          <w:sz w:val="24"/>
          <w:szCs w:val="24"/>
          <w:lang w:val="en-GB" w:eastAsia="en-GB"/>
        </w:rPr>
        <w:t xml:space="preserve"> </w:t>
      </w:r>
      <w:proofErr w:type="gramStart"/>
      <w:r w:rsidRPr="00133FD8">
        <w:rPr>
          <w:rFonts w:ascii="Times New Roman" w:eastAsia="Times New Roman" w:hAnsi="Times New Roman" w:cs="Times New Roman"/>
          <w:sz w:val="24"/>
          <w:szCs w:val="24"/>
          <w:lang w:val="en-GB" w:eastAsia="en-GB"/>
        </w:rPr>
        <w:t>Irish Wildlife Manuals, N0.75.</w:t>
      </w:r>
      <w:proofErr w:type="gramEnd"/>
      <w:r w:rsidRPr="00133FD8">
        <w:rPr>
          <w:rFonts w:ascii="Times New Roman" w:eastAsia="Times New Roman" w:hAnsi="Times New Roman" w:cs="Times New Roman"/>
          <w:sz w:val="24"/>
          <w:szCs w:val="24"/>
          <w:lang w:val="en-GB" w:eastAsia="en-GB"/>
        </w:rPr>
        <w:t xml:space="preserve"> National Parks and Wildlife Service, Department of the Arts, Heritage and the Gaeltacht, Dublin Ireland.</w:t>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r w:rsidRPr="00133FD8">
        <w:rPr>
          <w:rFonts w:ascii="Times New Roman" w:eastAsia="Times New Roman" w:hAnsi="Times New Roman" w:cs="Times New Roman"/>
          <w:sz w:val="24"/>
          <w:szCs w:val="24"/>
          <w:lang w:val="en-GB" w:eastAsia="en-GB"/>
        </w:rPr>
        <w:t xml:space="preserve">Ferguson, A. (2012). </w:t>
      </w:r>
      <w:proofErr w:type="gramStart"/>
      <w:r w:rsidRPr="00133FD8">
        <w:rPr>
          <w:rFonts w:ascii="Times New Roman" w:eastAsia="Times New Roman" w:hAnsi="Times New Roman" w:cs="Times New Roman"/>
          <w:sz w:val="24"/>
          <w:szCs w:val="24"/>
          <w:lang w:val="en-GB" w:eastAsia="en-GB"/>
        </w:rPr>
        <w:t>A report on the effect of cutting date on crop quality/yield and the effect of seaweed application on soil nutritive values.</w:t>
      </w:r>
      <w:proofErr w:type="gramEnd"/>
      <w:r w:rsidRPr="00133FD8">
        <w:rPr>
          <w:rFonts w:ascii="Times New Roman" w:eastAsia="Times New Roman" w:hAnsi="Times New Roman" w:cs="Times New Roman"/>
          <w:sz w:val="24"/>
          <w:szCs w:val="24"/>
          <w:lang w:val="en-GB" w:eastAsia="en-GB"/>
        </w:rPr>
        <w:t xml:space="preserve"> A report prepared by SAC consulting on behalf of Machair LIFE</w:t>
      </w:r>
      <w:r w:rsidRPr="00133FD8">
        <w:rPr>
          <w:rFonts w:ascii="Times New Roman" w:eastAsia="Times New Roman" w:hAnsi="Times New Roman" w:cs="Times New Roman"/>
          <w:b/>
          <w:sz w:val="24"/>
          <w:szCs w:val="24"/>
          <w:lang w:val="en-GB" w:eastAsia="en-GB"/>
        </w:rPr>
        <w:t>.</w:t>
      </w: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IE"/>
        </w:rPr>
      </w:pPr>
      <w:proofErr w:type="gramStart"/>
      <w:r w:rsidRPr="00133FD8">
        <w:rPr>
          <w:rFonts w:ascii="Times New Roman" w:eastAsia="Times New Roman" w:hAnsi="Times New Roman" w:cs="Times New Roman"/>
          <w:sz w:val="24"/>
          <w:szCs w:val="24"/>
          <w:lang w:val="en-GB" w:eastAsia="en-IE"/>
        </w:rPr>
        <w:t xml:space="preserve">Moorkens, E.A. &amp; Killeen, I.J. (2011) Monitoring and Condition Assessment of Populations of </w:t>
      </w:r>
      <w:r w:rsidRPr="00133FD8">
        <w:rPr>
          <w:rFonts w:ascii="Times New Roman" w:eastAsia="Times New Roman" w:hAnsi="Times New Roman" w:cs="Times New Roman"/>
          <w:i/>
          <w:iCs/>
          <w:sz w:val="24"/>
          <w:szCs w:val="24"/>
          <w:lang w:val="en-GB" w:eastAsia="en-IE"/>
        </w:rPr>
        <w:t>Vertigo geyeri</w:t>
      </w:r>
      <w:r w:rsidRPr="00133FD8">
        <w:rPr>
          <w:rFonts w:ascii="Times New Roman" w:eastAsia="Times New Roman" w:hAnsi="Times New Roman" w:cs="Times New Roman"/>
          <w:sz w:val="24"/>
          <w:szCs w:val="24"/>
          <w:lang w:val="en-GB" w:eastAsia="en-IE"/>
        </w:rPr>
        <w:t xml:space="preserve">, </w:t>
      </w:r>
      <w:r w:rsidRPr="00133FD8">
        <w:rPr>
          <w:rFonts w:ascii="Times New Roman" w:eastAsia="Times New Roman" w:hAnsi="Times New Roman" w:cs="Times New Roman"/>
          <w:i/>
          <w:iCs/>
          <w:sz w:val="24"/>
          <w:szCs w:val="24"/>
          <w:lang w:val="en-GB" w:eastAsia="en-IE"/>
        </w:rPr>
        <w:t xml:space="preserve">Vertigo angustior </w:t>
      </w:r>
      <w:r w:rsidRPr="00133FD8">
        <w:rPr>
          <w:rFonts w:ascii="Times New Roman" w:eastAsia="Times New Roman" w:hAnsi="Times New Roman" w:cs="Times New Roman"/>
          <w:sz w:val="24"/>
          <w:szCs w:val="24"/>
          <w:lang w:val="en-GB" w:eastAsia="en-IE"/>
        </w:rPr>
        <w:t xml:space="preserve">and </w:t>
      </w:r>
      <w:r w:rsidRPr="00133FD8">
        <w:rPr>
          <w:rFonts w:ascii="Times New Roman" w:eastAsia="Times New Roman" w:hAnsi="Times New Roman" w:cs="Times New Roman"/>
          <w:i/>
          <w:iCs/>
          <w:sz w:val="24"/>
          <w:szCs w:val="24"/>
          <w:lang w:val="en-GB" w:eastAsia="en-IE"/>
        </w:rPr>
        <w:t xml:space="preserve">Vertigo moulinsiana </w:t>
      </w:r>
      <w:r w:rsidRPr="00133FD8">
        <w:rPr>
          <w:rFonts w:ascii="Times New Roman" w:eastAsia="Times New Roman" w:hAnsi="Times New Roman" w:cs="Times New Roman"/>
          <w:sz w:val="24"/>
          <w:szCs w:val="24"/>
          <w:lang w:val="en-GB" w:eastAsia="en-IE"/>
        </w:rPr>
        <w:t>in Ireland.</w:t>
      </w:r>
      <w:proofErr w:type="gramEnd"/>
      <w:r w:rsidRPr="00133FD8">
        <w:rPr>
          <w:rFonts w:ascii="Times New Roman" w:eastAsia="Times New Roman" w:hAnsi="Times New Roman" w:cs="Times New Roman"/>
          <w:sz w:val="24"/>
          <w:szCs w:val="24"/>
          <w:lang w:val="en-GB" w:eastAsia="en-IE"/>
        </w:rPr>
        <w:t xml:space="preserve"> </w:t>
      </w:r>
      <w:proofErr w:type="gramStart"/>
      <w:r w:rsidRPr="00133FD8">
        <w:rPr>
          <w:rFonts w:ascii="Times New Roman" w:eastAsia="Times New Roman" w:hAnsi="Times New Roman" w:cs="Times New Roman"/>
          <w:i/>
          <w:iCs/>
          <w:sz w:val="24"/>
          <w:szCs w:val="24"/>
          <w:lang w:val="en-GB" w:eastAsia="en-IE"/>
        </w:rPr>
        <w:t>Irish Wildlife Manual</w:t>
      </w:r>
      <w:r w:rsidRPr="00133FD8">
        <w:rPr>
          <w:rFonts w:ascii="Times New Roman" w:eastAsia="Times New Roman" w:hAnsi="Times New Roman" w:cs="Times New Roman"/>
          <w:sz w:val="24"/>
          <w:szCs w:val="24"/>
          <w:lang w:val="en-GB" w:eastAsia="en-IE"/>
        </w:rPr>
        <w:t>s, No. 55.</w:t>
      </w:r>
      <w:proofErr w:type="gramEnd"/>
      <w:r w:rsidRPr="00133FD8">
        <w:rPr>
          <w:rFonts w:ascii="Times New Roman" w:eastAsia="Times New Roman" w:hAnsi="Times New Roman" w:cs="Times New Roman"/>
          <w:sz w:val="24"/>
          <w:szCs w:val="24"/>
          <w:lang w:val="en-GB" w:eastAsia="en-IE"/>
        </w:rPr>
        <w:t xml:space="preserve"> </w:t>
      </w:r>
      <w:proofErr w:type="gramStart"/>
      <w:r w:rsidRPr="00133FD8">
        <w:rPr>
          <w:rFonts w:ascii="Times New Roman" w:eastAsia="Times New Roman" w:hAnsi="Times New Roman" w:cs="Times New Roman"/>
          <w:sz w:val="24"/>
          <w:szCs w:val="24"/>
          <w:lang w:val="en-GB" w:eastAsia="en-IE"/>
        </w:rPr>
        <w:t>National Parks and Wildlife Service, Department of Arts, Heritage and Gaeltacht, Dublin, Ireland.</w:t>
      </w:r>
      <w:proofErr w:type="gramEnd"/>
    </w:p>
    <w:p w:rsidR="00133FD8" w:rsidRPr="00133FD8" w:rsidRDefault="00133FD8" w:rsidP="00133FD8">
      <w:pPr>
        <w:spacing w:after="0" w:line="240" w:lineRule="auto"/>
        <w:rPr>
          <w:rFonts w:ascii="Times New Roman" w:eastAsia="Times New Roman" w:hAnsi="Times New Roman" w:cs="Times New Roman"/>
          <w:sz w:val="24"/>
          <w:szCs w:val="24"/>
          <w:lang w:val="en-GB" w:eastAsia="en-IE"/>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Moorkens, E.A. and Gaynor, K. (2003).</w:t>
      </w:r>
      <w:proofErr w:type="gramEnd"/>
      <w:r w:rsidRPr="00133FD8">
        <w:rPr>
          <w:rFonts w:ascii="Times New Roman" w:eastAsia="Times New Roman" w:hAnsi="Times New Roman" w:cs="Times New Roman"/>
          <w:sz w:val="24"/>
          <w:szCs w:val="24"/>
          <w:lang w:val="en-GB" w:eastAsia="en-GB"/>
        </w:rPr>
        <w:t xml:space="preserve"> “Studies on </w:t>
      </w:r>
      <w:r w:rsidRPr="00133FD8">
        <w:rPr>
          <w:rFonts w:ascii="Times New Roman" w:eastAsia="Times New Roman" w:hAnsi="Times New Roman" w:cs="Times New Roman"/>
          <w:i/>
          <w:sz w:val="24"/>
          <w:szCs w:val="24"/>
          <w:lang w:val="en-GB" w:eastAsia="en-GB"/>
        </w:rPr>
        <w:t>Vertigo angustior</w:t>
      </w:r>
      <w:r w:rsidRPr="00133FD8">
        <w:rPr>
          <w:rFonts w:ascii="Times New Roman" w:eastAsia="Times New Roman" w:hAnsi="Times New Roman" w:cs="Times New Roman"/>
          <w:sz w:val="24"/>
          <w:szCs w:val="24"/>
          <w:lang w:val="en-GB" w:eastAsia="en-GB"/>
        </w:rPr>
        <w:t xml:space="preserve"> at a coastal site in western Ireland (Gastropoda, Pulmonata: Vertiginidae)” </w:t>
      </w:r>
      <w:r w:rsidRPr="00133FD8">
        <w:rPr>
          <w:rFonts w:ascii="Times New Roman" w:eastAsia="Times New Roman" w:hAnsi="Times New Roman" w:cs="Times New Roman"/>
          <w:i/>
          <w:iCs/>
          <w:sz w:val="24"/>
          <w:szCs w:val="24"/>
          <w:lang w:val="en-GB" w:eastAsia="en-GB"/>
        </w:rPr>
        <w:t>Heldia</w:t>
      </w:r>
      <w:r w:rsidRPr="00133FD8">
        <w:rPr>
          <w:rFonts w:ascii="Times New Roman" w:eastAsia="Times New Roman" w:hAnsi="Times New Roman" w:cs="Times New Roman"/>
          <w:sz w:val="24"/>
          <w:szCs w:val="24"/>
          <w:lang w:val="en-GB" w:eastAsia="en-GB"/>
        </w:rPr>
        <w:t xml:space="preserve"> </w:t>
      </w:r>
      <w:r w:rsidRPr="00133FD8">
        <w:rPr>
          <w:rFonts w:ascii="Times New Roman" w:eastAsia="Times New Roman" w:hAnsi="Times New Roman" w:cs="Times New Roman"/>
          <w:b/>
          <w:bCs/>
          <w:sz w:val="24"/>
          <w:szCs w:val="24"/>
          <w:lang w:val="en-GB" w:eastAsia="en-GB"/>
        </w:rPr>
        <w:t xml:space="preserve">5 (7): </w:t>
      </w:r>
      <w:r w:rsidRPr="00133FD8">
        <w:rPr>
          <w:rFonts w:ascii="Times New Roman" w:eastAsia="Times New Roman" w:hAnsi="Times New Roman" w:cs="Times New Roman"/>
          <w:sz w:val="24"/>
          <w:szCs w:val="24"/>
          <w:lang w:val="en-GB" w:eastAsia="en-GB"/>
        </w:rPr>
        <w:t>125-134.</w:t>
      </w:r>
    </w:p>
    <w:p w:rsidR="00133FD8" w:rsidRPr="00133FD8" w:rsidRDefault="00133FD8" w:rsidP="00133FD8">
      <w:pPr>
        <w:spacing w:after="0" w:line="240" w:lineRule="auto"/>
        <w:rPr>
          <w:rFonts w:ascii="Times New Roman" w:eastAsia="Times New Roman" w:hAnsi="Times New Roman" w:cs="Times New Roman"/>
          <w:b/>
          <w:sz w:val="24"/>
          <w:szCs w:val="24"/>
          <w:lang w:val="en-GB" w:eastAsia="en-GB"/>
        </w:rPr>
      </w:pPr>
    </w:p>
    <w:p w:rsidR="006A49F8" w:rsidRDefault="00133FD8" w:rsidP="00133FD8">
      <w:pPr>
        <w:spacing w:after="0" w:line="240" w:lineRule="auto"/>
        <w:rPr>
          <w:rFonts w:ascii="Times New Roman" w:eastAsia="Times New Roman" w:hAnsi="Times New Roman" w:cs="Times New Roman"/>
          <w:sz w:val="24"/>
          <w:szCs w:val="24"/>
          <w:lang w:val="en-GB" w:eastAsia="en-GB"/>
        </w:rPr>
      </w:pPr>
      <w:proofErr w:type="gramStart"/>
      <w:r w:rsidRPr="00133FD8">
        <w:rPr>
          <w:rFonts w:ascii="Times New Roman" w:eastAsia="Times New Roman" w:hAnsi="Times New Roman" w:cs="Times New Roman"/>
          <w:sz w:val="24"/>
          <w:szCs w:val="24"/>
          <w:lang w:val="en-GB" w:eastAsia="en-GB"/>
        </w:rPr>
        <w:t>Ryle, T., Murray, A., Connolly, K. and Swann, M. (2009).</w:t>
      </w:r>
      <w:proofErr w:type="gramEnd"/>
      <w:r w:rsidRPr="00133FD8">
        <w:rPr>
          <w:rFonts w:ascii="Times New Roman" w:eastAsia="Times New Roman" w:hAnsi="Times New Roman" w:cs="Times New Roman"/>
          <w:sz w:val="24"/>
          <w:szCs w:val="24"/>
          <w:lang w:val="en-GB" w:eastAsia="en-GB"/>
        </w:rPr>
        <w:t xml:space="preserve"> Coastal Monitoring Project 2004-2006. A report submitted to the National Parks and Wildlife Service, Dublin </w:t>
      </w:r>
    </w:p>
    <w:p w:rsidR="006A49F8" w:rsidRDefault="006A49F8">
      <w:pPr>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br w:type="page"/>
      </w:r>
    </w:p>
    <w:p w:rsidR="006A49F8" w:rsidRPr="006A49F8" w:rsidRDefault="006A49F8" w:rsidP="006A49F8">
      <w:pPr>
        <w:keepNext/>
        <w:keepLines/>
        <w:spacing w:before="480" w:after="0"/>
        <w:outlineLvl w:val="0"/>
        <w:rPr>
          <w:rFonts w:ascii="Cambria" w:eastAsia="Times New Roman" w:hAnsi="Cambria" w:cs="Times New Roman"/>
          <w:bCs/>
          <w:color w:val="365F91"/>
          <w:sz w:val="28"/>
          <w:szCs w:val="28"/>
          <w:lang w:val="en-GB"/>
        </w:rPr>
      </w:pPr>
      <w:bookmarkStart w:id="19" w:name="_Toc3284617"/>
      <w:proofErr w:type="gramStart"/>
      <w:r w:rsidRPr="006A49F8">
        <w:rPr>
          <w:rFonts w:ascii="Cambria" w:eastAsia="Times New Roman" w:hAnsi="Cambria" w:cs="Times New Roman"/>
          <w:bCs/>
          <w:color w:val="365F91"/>
          <w:sz w:val="28"/>
          <w:szCs w:val="28"/>
          <w:lang w:val="en-GB"/>
        </w:rPr>
        <w:lastRenderedPageBreak/>
        <w:t>Appendix 1.</w:t>
      </w:r>
      <w:proofErr w:type="gramEnd"/>
      <w:r w:rsidRPr="006A49F8">
        <w:rPr>
          <w:rFonts w:ascii="Cambria" w:eastAsia="Times New Roman" w:hAnsi="Cambria" w:cs="Times New Roman"/>
          <w:bCs/>
          <w:color w:val="365F91"/>
          <w:sz w:val="28"/>
          <w:szCs w:val="28"/>
          <w:lang w:val="en-GB"/>
        </w:rPr>
        <w:t xml:space="preserve"> Inis Mór Seaweed </w:t>
      </w:r>
      <w:proofErr w:type="gramStart"/>
      <w:r w:rsidRPr="006A49F8">
        <w:rPr>
          <w:rFonts w:ascii="Cambria" w:eastAsia="Times New Roman" w:hAnsi="Cambria" w:cs="Times New Roman"/>
          <w:bCs/>
          <w:color w:val="365F91"/>
          <w:sz w:val="28"/>
          <w:szCs w:val="28"/>
          <w:lang w:val="en-GB"/>
        </w:rPr>
        <w:t>treatment  plots</w:t>
      </w:r>
      <w:bookmarkEnd w:id="19"/>
      <w:proofErr w:type="gramEnd"/>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Plot 1 CS1</w:t>
      </w:r>
    </w:p>
    <w:p w:rsidR="006A49F8" w:rsidRPr="006A49F8" w:rsidRDefault="006A49F8" w:rsidP="006A49F8">
      <w:pPr>
        <w:spacing w:after="0" w:line="240" w:lineRule="auto"/>
        <w:jc w:val="center"/>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61EBAD3C" wp14:editId="2961C039">
            <wp:extent cx="3584765" cy="26887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6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84008" cy="2688204"/>
                    </a:xfrm>
                    <a:prstGeom prst="rect">
                      <a:avLst/>
                    </a:prstGeom>
                  </pic:spPr>
                </pic:pic>
              </a:graphicData>
            </a:graphic>
          </wp:inline>
        </w:drawing>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tbl>
      <w:tblPr>
        <w:tblW w:w="0" w:type="auto"/>
        <w:tblLook w:val="04A0" w:firstRow="1" w:lastRow="0" w:firstColumn="1" w:lastColumn="0" w:noHBand="0" w:noVBand="1"/>
      </w:tblPr>
      <w:tblGrid>
        <w:gridCol w:w="48"/>
        <w:gridCol w:w="3159"/>
        <w:gridCol w:w="1167"/>
        <w:gridCol w:w="369"/>
        <w:gridCol w:w="369"/>
        <w:gridCol w:w="1214"/>
        <w:gridCol w:w="1214"/>
        <w:gridCol w:w="1702"/>
      </w:tblGrid>
      <w:tr w:rsidR="006A49F8" w:rsidRPr="006A49F8" w:rsidTr="001C25CC">
        <w:tc>
          <w:tcPr>
            <w:tcW w:w="4734" w:type="dxa"/>
            <w:gridSpan w:val="4"/>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R41IMR no seaweed 04/08/15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7B61586" wp14:editId="2F648C73">
                  <wp:extent cx="3189514" cy="2392314"/>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6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7420" cy="2398244"/>
                          </a:xfrm>
                          <a:prstGeom prst="rect">
                            <a:avLst/>
                          </a:prstGeom>
                        </pic:spPr>
                      </pic:pic>
                    </a:graphicData>
                  </a:graphic>
                </wp:inline>
              </w:drawing>
            </w:r>
          </w:p>
        </w:tc>
        <w:tc>
          <w:tcPr>
            <w:tcW w:w="4508" w:type="dxa"/>
            <w:gridSpan w:val="4"/>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R42IMR seaweed 04/08/15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52AA18E2" wp14:editId="62897F26">
                  <wp:extent cx="3022176" cy="2266800"/>
                  <wp:effectExtent l="0" t="0" r="698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6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21539" cy="2266322"/>
                          </a:xfrm>
                          <a:prstGeom prst="rect">
                            <a:avLst/>
                          </a:prstGeom>
                        </pic:spPr>
                      </pic:pic>
                    </a:graphicData>
                  </a:graphic>
                </wp:inline>
              </w:drawing>
            </w:r>
          </w:p>
        </w:tc>
      </w:tr>
      <w:tr w:rsidR="006A49F8" w:rsidRPr="006A49F8" w:rsidTr="001C25CC">
        <w:tc>
          <w:tcPr>
            <w:tcW w:w="4734" w:type="dxa"/>
            <w:gridSpan w:val="4"/>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R43IMR seaweed04/08/15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2EBD715C" wp14:editId="34B2A120">
                  <wp:extent cx="2830077" cy="212271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6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5054" cy="2118948"/>
                          </a:xfrm>
                          <a:prstGeom prst="rect">
                            <a:avLst/>
                          </a:prstGeom>
                        </pic:spPr>
                      </pic:pic>
                    </a:graphicData>
                  </a:graphic>
                </wp:inline>
              </w:drawing>
            </w:r>
          </w:p>
        </w:tc>
        <w:tc>
          <w:tcPr>
            <w:tcW w:w="4508" w:type="dxa"/>
            <w:gridSpan w:val="4"/>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R44IMR no seaweed 04/08/15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860BBF3" wp14:editId="42173A03">
                  <wp:extent cx="3015343" cy="2261672"/>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7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6646" cy="2255148"/>
                          </a:xfrm>
                          <a:prstGeom prst="rect">
                            <a:avLst/>
                          </a:prstGeom>
                        </pic:spPr>
                      </pic:pic>
                    </a:graphicData>
                  </a:graphic>
                </wp:inline>
              </w:drawing>
            </w:r>
          </w:p>
        </w:tc>
      </w:tr>
      <w:tr w:rsidR="006A49F8" w:rsidRPr="006A49F8" w:rsidTr="001C25CC">
        <w:trPr>
          <w:gridBefore w:val="1"/>
          <w:gridAfter w:val="1"/>
          <w:wAfter w:w="2338" w:type="dxa"/>
          <w:trHeight w:val="17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Plot 1 CS1</w:t>
            </w:r>
          </w:p>
        </w:tc>
        <w:tc>
          <w:tcPr>
            <w:tcW w:w="0" w:type="auto"/>
            <w:gridSpan w:val="3"/>
            <w:tcBorders>
              <w:top w:val="single" w:sz="4" w:space="0" w:color="auto"/>
              <w:left w:val="nil"/>
              <w:bottom w:val="single" w:sz="4" w:space="0" w:color="auto"/>
              <w:right w:val="single" w:sz="4" w:space="0" w:color="000000"/>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Seaweed</w:t>
            </w:r>
          </w:p>
        </w:tc>
        <w:tc>
          <w:tcPr>
            <w:tcW w:w="0" w:type="auto"/>
            <w:gridSpan w:val="2"/>
            <w:tcBorders>
              <w:top w:val="single" w:sz="4" w:space="0" w:color="auto"/>
              <w:left w:val="nil"/>
              <w:bottom w:val="single" w:sz="4" w:space="0" w:color="auto"/>
              <w:right w:val="single" w:sz="4" w:space="0" w:color="000000"/>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No Seaweed</w:t>
            </w:r>
          </w:p>
        </w:tc>
      </w:tr>
      <w:tr w:rsidR="006A49F8" w:rsidRPr="006A49F8" w:rsidTr="001C25CC">
        <w:trPr>
          <w:gridBefore w:val="1"/>
          <w:gridAfter w:val="1"/>
          <w:wAfter w:w="2338" w:type="dxa"/>
          <w:trHeight w:val="23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Relevés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R42IMR</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R43IMR</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R41IMR</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R44IMR</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lastRenderedPageBreak/>
              <w:t>Dmyield(t) per ha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0.3264</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1.3204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1.3028</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0.6016</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Bare ground</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Grass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50</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35</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70</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65</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Sedge</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10</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Broadleaves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60</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35</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50</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60</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Bryophytes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65</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70</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80</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75</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Total species no.</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18</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19</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23</w:t>
            </w:r>
          </w:p>
        </w:tc>
      </w:tr>
      <w:tr w:rsidR="006A49F8" w:rsidRPr="006A49F8" w:rsidTr="001C25CC">
        <w:trPr>
          <w:gridBefore w:val="1"/>
          <w:gridAfter w:val="1"/>
          <w:wAfter w:w="2338" w:type="dxa"/>
          <w:trHeight w:val="340"/>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Anagallis arvensis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Scleropodium purum</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Rumex acetosa</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Agrostis stolonifera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Festuca rubra</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Asperula cynanchica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6</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Cerastium fontanum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Galium verum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Lotus corniculatus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Rhytidiadelphus squarrosus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Luzula campestris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Trifolium repens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Carex arenaria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Viola tricolor</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Plantago lanceolata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Calliergonella cuspidata</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1</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4</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Poa pratensis</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Homalothecium lutescens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4</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Cs/>
                <w:color w:val="000000"/>
                <w:sz w:val="18"/>
                <w:szCs w:val="18"/>
                <w:lang w:val="en-GB" w:eastAsia="en-GB"/>
              </w:rPr>
            </w:pPr>
            <w:r w:rsidRPr="006A49F8">
              <w:rPr>
                <w:rFonts w:ascii="Calibri" w:eastAsia="Times New Roman" w:hAnsi="Calibri" w:cs="Times New Roman"/>
                <w:bCs/>
                <w:color w:val="000000"/>
                <w:sz w:val="18"/>
                <w:szCs w:val="18"/>
                <w:lang w:val="en-GB" w:eastAsia="en-GB"/>
              </w:rPr>
              <w:t>5</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Ranunculus bulbosus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Cuscuta epithymum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6</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6</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xml:space="preserve">Euphrasia officinalis agg. </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lastRenderedPageBreak/>
              <w:t>Sedum acre</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Senecio jacobaea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u w:val="single"/>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u w:val="single"/>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3</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Carex flacca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Agrostis capillaris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Homalothecium sericeum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Bellis perennis</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Geranium molle</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Tortella tortuosa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Peltigera canina</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Prunella vulgaris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gridBefore w:val="1"/>
          <w:gridAfter w:val="1"/>
          <w:wAfter w:w="2338" w:type="dxa"/>
          <w:trHeight w:val="45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Linum catharticum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gridSpan w:val="2"/>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w:t>
            </w:r>
          </w:p>
        </w:tc>
      </w:tr>
      <w:tr w:rsidR="006A49F8" w:rsidRPr="006A49F8" w:rsidTr="001C25CC">
        <w:trPr>
          <w:gridBefore w:val="1"/>
          <w:gridAfter w:val="1"/>
          <w:wAfter w:w="2338" w:type="dxa"/>
          <w:trHeight w:val="453"/>
        </w:trPr>
        <w:tc>
          <w:tcPr>
            <w:tcW w:w="0" w:type="auto"/>
            <w:tcBorders>
              <w:top w:val="nil"/>
              <w:left w:val="single" w:sz="4" w:space="0" w:color="auto"/>
              <w:bottom w:val="nil"/>
              <w:right w:val="nil"/>
            </w:tcBorders>
            <w:shd w:val="clear" w:color="auto" w:fill="auto"/>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Trifolium dubium</w:t>
            </w:r>
          </w:p>
        </w:tc>
        <w:tc>
          <w:tcPr>
            <w:tcW w:w="0" w:type="auto"/>
            <w:tcBorders>
              <w:top w:val="nil"/>
              <w:left w:val="single" w:sz="4" w:space="0" w:color="auto"/>
              <w:bottom w:val="nil"/>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gridSpan w:val="2"/>
            <w:tcBorders>
              <w:top w:val="nil"/>
              <w:left w:val="nil"/>
              <w:bottom w:val="nil"/>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p>
        </w:tc>
        <w:tc>
          <w:tcPr>
            <w:tcW w:w="0" w:type="auto"/>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There are 11 positive indicator species in both the seaweed and no seaweed plots. </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One positive indicator species (Agrostis stolonifera) is confined to the no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Negative indicator species are absent. </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 % cover of bryophytes is high in both seaweed and no seaweed treatments.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br w:type="page"/>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Plot 2 PN1</w:t>
      </w:r>
    </w:p>
    <w:p w:rsidR="006A49F8" w:rsidRPr="006A49F8" w:rsidRDefault="006A49F8" w:rsidP="006A49F8">
      <w:pPr>
        <w:spacing w:after="0" w:line="240" w:lineRule="auto"/>
        <w:jc w:val="center"/>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70C26642" wp14:editId="6CD9ED9B">
            <wp:extent cx="4376057" cy="3282285"/>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2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75133" cy="3281592"/>
                    </a:xfrm>
                    <a:prstGeom prst="rect">
                      <a:avLst/>
                    </a:prstGeom>
                  </pic:spPr>
                </pic:pic>
              </a:graphicData>
            </a:graphic>
          </wp:inline>
        </w:drawing>
      </w:r>
    </w:p>
    <w:tbl>
      <w:tblPr>
        <w:tblW w:w="0" w:type="auto"/>
        <w:tblLook w:val="04A0" w:firstRow="1" w:lastRow="0" w:firstColumn="1" w:lastColumn="0" w:noHBand="0" w:noVBand="1"/>
      </w:tblPr>
      <w:tblGrid>
        <w:gridCol w:w="4772"/>
        <w:gridCol w:w="4470"/>
      </w:tblGrid>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R33 IMR ( no seaweed)  16/7/15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12ED7DDC" wp14:editId="3C0220E9">
                  <wp:extent cx="2852057" cy="2139201"/>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1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55324" cy="2141651"/>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R34 IMR (seaweed) 16/7/15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6101A374" wp14:editId="16E87E99">
                  <wp:extent cx="2775857" cy="2082047"/>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5271" cy="2081608"/>
                          </a:xfrm>
                          <a:prstGeom prst="rect">
                            <a:avLst/>
                          </a:prstGeom>
                        </pic:spPr>
                      </pic:pic>
                    </a:graphicData>
                  </a:graphic>
                </wp:inline>
              </w:drawing>
            </w:r>
          </w:p>
        </w:tc>
      </w:tr>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R35IMR (seaweed) 16/7/15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29F90CF" wp14:editId="7E833DDF">
                  <wp:extent cx="2978633" cy="22341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1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8005" cy="2233669"/>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R36 IMR (no seaweed) 16/7/15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15C0FEF2" wp14:editId="28014EED">
                  <wp:extent cx="2760919" cy="2070842"/>
                  <wp:effectExtent l="0" t="0" r="190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2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60337" cy="2070405"/>
                          </a:xfrm>
                          <a:prstGeom prst="rect">
                            <a:avLst/>
                          </a:prstGeom>
                        </pic:spPr>
                      </pic:pic>
                    </a:graphicData>
                  </a:graphic>
                </wp:inline>
              </w:drawing>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There are five positive indicator species present in both the seaweed treated and untreated areas.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One negative indicator species, </w:t>
      </w:r>
      <w:r w:rsidRPr="006A49F8">
        <w:rPr>
          <w:rFonts w:ascii="Times New Roman" w:eastAsia="Times New Roman" w:hAnsi="Times New Roman" w:cs="Times New Roman"/>
          <w:i/>
          <w:sz w:val="24"/>
          <w:szCs w:val="24"/>
          <w:lang w:val="en-GB" w:eastAsia="en-GB"/>
        </w:rPr>
        <w:t>Arrehenatherum elatius</w:t>
      </w:r>
      <w:r w:rsidRPr="006A49F8">
        <w:rPr>
          <w:rFonts w:ascii="Times New Roman" w:eastAsia="Times New Roman" w:hAnsi="Times New Roman" w:cs="Times New Roman"/>
          <w:sz w:val="24"/>
          <w:szCs w:val="24"/>
          <w:lang w:val="en-GB" w:eastAsia="en-GB"/>
        </w:rPr>
        <w:t xml:space="preserve"> occurs in the untreated area</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 cover of bryophytes is higher in the untreated areas plot, though both treated and untreated areas have a high bryophyte cover.</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There is a higher cover of sedges in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Two species are absent from the seaweed plot but are present elsewhere: </w:t>
      </w:r>
      <w:r w:rsidRPr="006A49F8">
        <w:rPr>
          <w:rFonts w:ascii="Times New Roman" w:eastAsia="Times New Roman" w:hAnsi="Times New Roman" w:cs="Times New Roman"/>
          <w:i/>
          <w:sz w:val="24"/>
          <w:szCs w:val="24"/>
          <w:lang w:val="en-GB" w:eastAsia="en-GB"/>
        </w:rPr>
        <w:t>Anagallis arvensis</w:t>
      </w:r>
      <w:r w:rsidRPr="006A49F8">
        <w:rPr>
          <w:rFonts w:ascii="Times New Roman" w:eastAsia="Times New Roman" w:hAnsi="Times New Roman" w:cs="Times New Roman"/>
          <w:sz w:val="24"/>
          <w:szCs w:val="24"/>
          <w:lang w:val="en-GB" w:eastAsia="en-GB"/>
        </w:rPr>
        <w:t xml:space="preserve"> and </w:t>
      </w:r>
      <w:r w:rsidRPr="006A49F8">
        <w:rPr>
          <w:rFonts w:ascii="Times New Roman" w:eastAsia="Times New Roman" w:hAnsi="Times New Roman" w:cs="Times New Roman"/>
          <w:i/>
          <w:sz w:val="24"/>
          <w:szCs w:val="24"/>
          <w:lang w:val="en-GB" w:eastAsia="en-GB"/>
        </w:rPr>
        <w:t>Lotus corniculatus</w:t>
      </w:r>
      <w:r w:rsidRPr="006A49F8">
        <w:rPr>
          <w:rFonts w:ascii="Times New Roman" w:eastAsia="Times New Roman" w:hAnsi="Times New Roman" w:cs="Times New Roman"/>
          <w:sz w:val="24"/>
          <w:szCs w:val="24"/>
          <w:lang w:val="en-GB" w:eastAsia="en-GB"/>
        </w:rPr>
        <w:t xml:space="preserve"> (a positive indicator species).</w:t>
      </w:r>
    </w:p>
    <w:tbl>
      <w:tblPr>
        <w:tblW w:w="6580" w:type="dxa"/>
        <w:tblInd w:w="1440" w:type="dxa"/>
        <w:tblLook w:val="04A0" w:firstRow="1" w:lastRow="0" w:firstColumn="1" w:lastColumn="0" w:noHBand="0" w:noVBand="1"/>
      </w:tblPr>
      <w:tblGrid>
        <w:gridCol w:w="2740"/>
        <w:gridCol w:w="1004"/>
        <w:gridCol w:w="1004"/>
        <w:gridCol w:w="1004"/>
        <w:gridCol w:w="1004"/>
      </w:tblGrid>
      <w:tr w:rsidR="006A49F8" w:rsidRPr="006A49F8" w:rsidTr="001C25CC">
        <w:trPr>
          <w:trHeight w:val="300"/>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24"/>
                <w:szCs w:val="24"/>
                <w:lang w:val="en-GB" w:eastAsia="en-GB"/>
              </w:rPr>
            </w:pPr>
            <w:r w:rsidRPr="006A49F8">
              <w:rPr>
                <w:rFonts w:ascii="Calibri" w:eastAsia="Times New Roman" w:hAnsi="Calibri" w:cs="Times New Roman"/>
                <w:b/>
                <w:color w:val="000000"/>
                <w:sz w:val="24"/>
                <w:szCs w:val="24"/>
                <w:lang w:val="en-GB" w:eastAsia="en-GB"/>
              </w:rPr>
              <w:t> Plot2 PN1</w:t>
            </w:r>
          </w:p>
        </w:tc>
        <w:tc>
          <w:tcPr>
            <w:tcW w:w="1920" w:type="dxa"/>
            <w:gridSpan w:val="2"/>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24"/>
                <w:szCs w:val="24"/>
                <w:lang w:val="en-GB" w:eastAsia="en-GB"/>
              </w:rPr>
            </w:pPr>
            <w:r w:rsidRPr="006A49F8">
              <w:rPr>
                <w:rFonts w:ascii="Calibri" w:eastAsia="Times New Roman" w:hAnsi="Calibri" w:cs="Times New Roman"/>
                <w:b/>
                <w:color w:val="000000"/>
                <w:sz w:val="24"/>
                <w:szCs w:val="24"/>
                <w:lang w:val="en-GB" w:eastAsia="en-GB"/>
              </w:rPr>
              <w:t>seaweed</w:t>
            </w:r>
          </w:p>
        </w:tc>
        <w:tc>
          <w:tcPr>
            <w:tcW w:w="1920" w:type="dxa"/>
            <w:gridSpan w:val="2"/>
            <w:tcBorders>
              <w:top w:val="single" w:sz="4" w:space="0" w:color="auto"/>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color w:val="000000"/>
                <w:sz w:val="24"/>
                <w:szCs w:val="24"/>
                <w:lang w:val="en-GB" w:eastAsia="en-GB"/>
              </w:rPr>
            </w:pPr>
            <w:r w:rsidRPr="006A49F8">
              <w:rPr>
                <w:rFonts w:ascii="Calibri" w:eastAsia="Times New Roman" w:hAnsi="Calibri" w:cs="Times New Roman"/>
                <w:b/>
                <w:color w:val="000000"/>
                <w:sz w:val="24"/>
                <w:szCs w:val="24"/>
                <w:lang w:val="en-GB" w:eastAsia="en-GB"/>
              </w:rPr>
              <w:t>no seaweed</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Relevés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R34IMR</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R35IMR</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R33IMR</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R36IMR</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Dmyield(t) per ha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0.8092</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1.3496</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2.0592</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0.7888</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Bare ground</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Grass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60</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15</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Sedge</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30</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10</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Broadleaves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30</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50</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Bryophytes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70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70</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90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90</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Total species no.</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17</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18</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22</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18</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Lotus corniculatus</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Anagallis arvensis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Scleropodium purum</w:t>
            </w:r>
          </w:p>
        </w:tc>
        <w:tc>
          <w:tcPr>
            <w:tcW w:w="960" w:type="dxa"/>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Festuca rubra</w:t>
            </w:r>
          </w:p>
        </w:tc>
        <w:tc>
          <w:tcPr>
            <w:tcW w:w="960" w:type="dxa"/>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8</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7</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7</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Asperula cynanchica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6</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Cerastium fontanum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Galium verum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Trifolium repens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7</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Carex arenaria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000000" w:fill="FFFFFF"/>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Agrostis stolonifera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Rhytidiadelphus squarrosus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8</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8</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8</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8</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Luzula campestris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6</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Hypochaeris radicata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Calliergonella cuspidata</w:t>
            </w:r>
          </w:p>
        </w:tc>
        <w:tc>
          <w:tcPr>
            <w:tcW w:w="960" w:type="dxa"/>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Plantago lanceolata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Ranunculus bulbosus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Cuscuta epithymum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Phleum pratensis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Hylocomium splendens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Carex spp</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Poa pratensis</w:t>
            </w:r>
          </w:p>
        </w:tc>
        <w:tc>
          <w:tcPr>
            <w:tcW w:w="960" w:type="dxa"/>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Veronica chamaedrys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Campanula rotundifolia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Cerastium glomeratum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Carex flacca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Rumex acetosa</w:t>
            </w:r>
          </w:p>
        </w:tc>
        <w:tc>
          <w:tcPr>
            <w:tcW w:w="960" w:type="dxa"/>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lastRenderedPageBreak/>
              <w:t>Carex distans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Holcus lanatus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Peltigera canina</w:t>
            </w:r>
          </w:p>
        </w:tc>
        <w:tc>
          <w:tcPr>
            <w:tcW w:w="960" w:type="dxa"/>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Viola tricolor</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xml:space="preserve">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Arrhenatherum elatius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1</w:t>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br w:type="page"/>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Plot3 PN2</w:t>
      </w:r>
    </w:p>
    <w:p w:rsidR="006A49F8" w:rsidRPr="006A49F8" w:rsidRDefault="006A49F8" w:rsidP="006A49F8">
      <w:pPr>
        <w:spacing w:after="0" w:line="240" w:lineRule="auto"/>
        <w:jc w:val="center"/>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88DBA00" wp14:editId="00257103">
            <wp:extent cx="3997234" cy="2998148"/>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2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98788" cy="2999314"/>
                    </a:xfrm>
                    <a:prstGeom prst="rect">
                      <a:avLst/>
                    </a:prstGeom>
                  </pic:spPr>
                </pic:pic>
              </a:graphicData>
            </a:graphic>
          </wp:inline>
        </w:drawing>
      </w:r>
    </w:p>
    <w:tbl>
      <w:tblPr>
        <w:tblW w:w="0" w:type="auto"/>
        <w:tblLook w:val="04A0" w:firstRow="1" w:lastRow="0" w:firstColumn="1" w:lastColumn="0" w:noHBand="0" w:noVBand="1"/>
      </w:tblPr>
      <w:tblGrid>
        <w:gridCol w:w="4538"/>
        <w:gridCol w:w="4704"/>
      </w:tblGrid>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R37IMR No seaweed 4/8/15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6CEEFB2D" wp14:editId="2726CDEF">
                  <wp:extent cx="2716873" cy="2037805"/>
                  <wp:effectExtent l="0" t="0" r="762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4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15412" cy="2036709"/>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R38IMR Seaweed 4/8/15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69373BAD" wp14:editId="06F9444D">
                  <wp:extent cx="2769326" cy="20771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5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67837" cy="2076031"/>
                          </a:xfrm>
                          <a:prstGeom prst="rect">
                            <a:avLst/>
                          </a:prstGeom>
                        </pic:spPr>
                      </pic:pic>
                    </a:graphicData>
                  </a:graphic>
                </wp:inline>
              </w:drawing>
            </w:r>
          </w:p>
        </w:tc>
      </w:tr>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R39IMR Seaweed plot 4/8/15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30E70057" wp14:editId="2904DFB3">
                  <wp:extent cx="3487949" cy="26161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5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86073" cy="2614748"/>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R40IMR no seaweed 4/8/15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1F0512B1" wp14:editId="20AACC52">
                  <wp:extent cx="3622498" cy="2717074"/>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5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7897" cy="2728624"/>
                          </a:xfrm>
                          <a:prstGeom prst="rect">
                            <a:avLst/>
                          </a:prstGeom>
                        </pic:spPr>
                      </pic:pic>
                    </a:graphicData>
                  </a:graphic>
                </wp:inline>
              </w:drawing>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 % bare ground is lower in the seaweed treated area and this corresponds with a higher %cover of grass and broadleaves in the seaweed treated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The % cover </w:t>
      </w:r>
      <w:proofErr w:type="gramStart"/>
      <w:r w:rsidRPr="006A49F8">
        <w:rPr>
          <w:rFonts w:ascii="Times New Roman" w:eastAsia="Times New Roman" w:hAnsi="Times New Roman" w:cs="Times New Roman"/>
          <w:sz w:val="24"/>
          <w:szCs w:val="24"/>
          <w:lang w:val="en-GB" w:eastAsia="en-GB"/>
        </w:rPr>
        <w:t>bryophytes  is</w:t>
      </w:r>
      <w:proofErr w:type="gramEnd"/>
      <w:r w:rsidRPr="006A49F8">
        <w:rPr>
          <w:rFonts w:ascii="Times New Roman" w:eastAsia="Times New Roman" w:hAnsi="Times New Roman" w:cs="Times New Roman"/>
          <w:sz w:val="24"/>
          <w:szCs w:val="24"/>
          <w:lang w:val="en-GB" w:eastAsia="en-GB"/>
        </w:rPr>
        <w:t xml:space="preserve"> higher in the seaweed treated plot as is the total no. of species per relevé.</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One species (</w:t>
      </w:r>
      <w:r w:rsidRPr="006A49F8">
        <w:rPr>
          <w:rFonts w:ascii="Times New Roman" w:eastAsia="Times New Roman" w:hAnsi="Times New Roman" w:cs="Times New Roman"/>
          <w:i/>
          <w:sz w:val="24"/>
          <w:szCs w:val="24"/>
          <w:lang w:val="en-GB" w:eastAsia="en-GB"/>
        </w:rPr>
        <w:t>Calliergonella cuspidata</w:t>
      </w:r>
      <w:r w:rsidRPr="006A49F8">
        <w:rPr>
          <w:rFonts w:ascii="Times New Roman" w:eastAsia="Times New Roman" w:hAnsi="Times New Roman" w:cs="Times New Roman"/>
          <w:sz w:val="24"/>
          <w:szCs w:val="24"/>
          <w:lang w:val="en-GB" w:eastAsia="en-GB"/>
        </w:rPr>
        <w:t>) is only present in both relevés in the seaweed treated plot but absent from releves elsewhere.</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Nine positive indicator species occur in both the seaweed treated area and elsewhere. </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One negative indicator species occurs in one relevé within the seaweed plot, </w:t>
      </w:r>
      <w:r w:rsidRPr="006A49F8">
        <w:rPr>
          <w:rFonts w:ascii="Times New Roman" w:eastAsia="Times New Roman" w:hAnsi="Times New Roman" w:cs="Times New Roman"/>
          <w:i/>
          <w:sz w:val="24"/>
          <w:szCs w:val="24"/>
          <w:lang w:val="en-GB" w:eastAsia="en-GB"/>
        </w:rPr>
        <w:t>Senecio jacobaea</w:t>
      </w:r>
      <w:r w:rsidRPr="006A49F8">
        <w:rPr>
          <w:rFonts w:ascii="Times New Roman" w:eastAsia="Times New Roman" w:hAnsi="Times New Roman" w:cs="Times New Roman"/>
          <w:sz w:val="24"/>
          <w:szCs w:val="24"/>
          <w:lang w:val="en-GB" w:eastAsia="en-GB"/>
        </w:rPr>
        <w:t>.</w:t>
      </w:r>
    </w:p>
    <w:tbl>
      <w:tblPr>
        <w:tblW w:w="6580" w:type="dxa"/>
        <w:tblInd w:w="1440" w:type="dxa"/>
        <w:tblLook w:val="04A0" w:firstRow="1" w:lastRow="0" w:firstColumn="1" w:lastColumn="0" w:noHBand="0" w:noVBand="1"/>
      </w:tblPr>
      <w:tblGrid>
        <w:gridCol w:w="2740"/>
        <w:gridCol w:w="1004"/>
        <w:gridCol w:w="1004"/>
        <w:gridCol w:w="1004"/>
        <w:gridCol w:w="1004"/>
      </w:tblGrid>
      <w:tr w:rsidR="006A49F8" w:rsidRPr="006A49F8" w:rsidTr="001C25CC">
        <w:trPr>
          <w:trHeight w:val="300"/>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Plot3 PN2</w:t>
            </w:r>
          </w:p>
        </w:tc>
        <w:tc>
          <w:tcPr>
            <w:tcW w:w="960" w:type="dxa"/>
            <w:tcBorders>
              <w:top w:val="single" w:sz="4" w:space="0" w:color="auto"/>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Relevés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R38IMR</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R39IMR</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R37IMR</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R40IMR</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Dmyield(t) per ha</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0.6508</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1.4812</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Bare ground</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50</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Grass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30</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Sedge</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&lt;1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&lt;1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Broadleaves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Bryophytes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30</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10</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0</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Total species no.</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19</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19</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13</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Calliergonella cuspidata</w:t>
            </w:r>
          </w:p>
        </w:tc>
        <w:tc>
          <w:tcPr>
            <w:tcW w:w="960" w:type="dxa"/>
            <w:tcBorders>
              <w:top w:val="single" w:sz="4" w:space="0" w:color="auto"/>
              <w:left w:val="single" w:sz="4" w:space="0" w:color="auto"/>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Festuca rubra</w:t>
            </w:r>
          </w:p>
        </w:tc>
        <w:tc>
          <w:tcPr>
            <w:tcW w:w="960" w:type="dxa"/>
            <w:tcBorders>
              <w:top w:val="nil"/>
              <w:left w:val="single" w:sz="4" w:space="0" w:color="auto"/>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8</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7</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6</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Lotus corniculatus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000000" w:fill="FFFFFF"/>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Agrostis stolonifera</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Viola tricolor</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Sedum acre</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Asperula cynanchica</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Hypochaeris radicata</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Homalothecium lutescens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Syntrichia ruraralis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000000" w:fill="FFFFFF"/>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Aira praecox</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Trifolium dubium</w:t>
            </w:r>
          </w:p>
        </w:tc>
        <w:tc>
          <w:tcPr>
            <w:tcW w:w="960" w:type="dxa"/>
            <w:tcBorders>
              <w:top w:val="nil"/>
              <w:left w:val="single" w:sz="4" w:space="0" w:color="auto"/>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Galium verum</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Carex arenaria</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Anagallis arvensis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Leontodon taraxacoides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Trifolium repens</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Cerastium fontanum</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Bellis perennis</w:t>
            </w:r>
          </w:p>
        </w:tc>
        <w:tc>
          <w:tcPr>
            <w:tcW w:w="960" w:type="dxa"/>
            <w:tcBorders>
              <w:top w:val="nil"/>
              <w:left w:val="single" w:sz="4" w:space="0" w:color="auto"/>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Linum catharticum</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24"/>
                <w:szCs w:val="24"/>
                <w:lang w:val="en-GB" w:eastAsia="en-GB"/>
              </w:rPr>
            </w:pPr>
            <w:r w:rsidRPr="006A49F8">
              <w:rPr>
                <w:rFonts w:ascii="Calibri" w:eastAsia="Times New Roman" w:hAnsi="Calibri" w:cs="Times New Roman"/>
                <w:b/>
                <w:bCs/>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Geranium molle</w:t>
            </w:r>
          </w:p>
        </w:tc>
        <w:tc>
          <w:tcPr>
            <w:tcW w:w="960" w:type="dxa"/>
            <w:tcBorders>
              <w:top w:val="nil"/>
              <w:left w:val="single" w:sz="4" w:space="0" w:color="auto"/>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Poa annu</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Senecio jacobaea</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u w:val="single"/>
                <w:lang w:val="en-GB" w:eastAsia="en-GB"/>
              </w:rPr>
            </w:pPr>
            <w:r w:rsidRPr="006A49F8">
              <w:rPr>
                <w:rFonts w:ascii="Calibri" w:eastAsia="Times New Roman" w:hAnsi="Calibri" w:cs="Times New Roman"/>
                <w:color w:val="000000"/>
                <w:sz w:val="24"/>
                <w:szCs w:val="24"/>
                <w:u w:val="single"/>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Dactylis glomerata</w:t>
            </w:r>
          </w:p>
        </w:tc>
        <w:tc>
          <w:tcPr>
            <w:tcW w:w="960" w:type="dxa"/>
            <w:tcBorders>
              <w:top w:val="nil"/>
              <w:left w:val="nil"/>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xml:space="preserve">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r w:rsidR="006A49F8" w:rsidRPr="006A49F8" w:rsidTr="001C25CC">
        <w:trPr>
          <w:trHeight w:val="300"/>
        </w:trPr>
        <w:tc>
          <w:tcPr>
            <w:tcW w:w="2740"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lastRenderedPageBreak/>
              <w:t>Peltigera canina</w:t>
            </w:r>
          </w:p>
        </w:tc>
        <w:tc>
          <w:tcPr>
            <w:tcW w:w="960" w:type="dxa"/>
            <w:tcBorders>
              <w:top w:val="nil"/>
              <w:left w:val="single" w:sz="4" w:space="0" w:color="auto"/>
              <w:bottom w:val="single" w:sz="4" w:space="0" w:color="auto"/>
              <w:right w:val="single" w:sz="4" w:space="0" w:color="auto"/>
            </w:tcBorders>
            <w:shd w:val="clear" w:color="000000" w:fill="9BBB59"/>
            <w:noWrap/>
            <w:vAlign w:val="bottom"/>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xml:space="preserve">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24"/>
                <w:szCs w:val="24"/>
                <w:lang w:val="en-GB" w:eastAsia="en-GB"/>
              </w:rPr>
            </w:pPr>
            <w:r w:rsidRPr="006A49F8">
              <w:rPr>
                <w:rFonts w:ascii="Calibri" w:eastAsia="Times New Roman" w:hAnsi="Calibri" w:cs="Times New Roman"/>
                <w:color w:val="000000"/>
                <w:sz w:val="24"/>
                <w:szCs w:val="24"/>
                <w:lang w:val="en-GB" w:eastAsia="en-GB"/>
              </w:rPr>
              <w:t> </w:t>
            </w:r>
          </w:p>
        </w:tc>
      </w:tr>
    </w:tbl>
    <w:p w:rsidR="006A49F8" w:rsidRPr="006A49F8" w:rsidRDefault="006A49F8" w:rsidP="00D036A9">
      <w:pPr>
        <w:pStyle w:val="Heading1"/>
        <w:rPr>
          <w:rFonts w:ascii="Times New Roman" w:hAnsi="Times New Roman"/>
          <w:b w:val="0"/>
          <w:sz w:val="24"/>
          <w:szCs w:val="24"/>
          <w:lang w:eastAsia="en-GB"/>
        </w:rPr>
      </w:pPr>
      <w:r w:rsidRPr="006A49F8">
        <w:rPr>
          <w:rFonts w:ascii="Times New Roman" w:hAnsi="Times New Roman"/>
          <w:sz w:val="24"/>
          <w:szCs w:val="24"/>
          <w:lang w:eastAsia="en-GB"/>
        </w:rPr>
        <w:br w:type="page"/>
      </w:r>
      <w:bookmarkStart w:id="20" w:name="_Toc3284618"/>
      <w:r w:rsidRPr="006A49F8">
        <w:rPr>
          <w:rFonts w:ascii="Times New Roman" w:hAnsi="Times New Roman"/>
          <w:sz w:val="24"/>
          <w:szCs w:val="24"/>
          <w:lang w:eastAsia="en-GB"/>
        </w:rPr>
        <w:lastRenderedPageBreak/>
        <w:t>Appendix 2: Seaweed Plots Inis Meáin</w:t>
      </w:r>
      <w:bookmarkEnd w:id="20"/>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Plot 7 PM1</w:t>
      </w:r>
    </w:p>
    <w:p w:rsidR="006A49F8" w:rsidRPr="006A49F8" w:rsidRDefault="006A49F8" w:rsidP="006A49F8">
      <w:pPr>
        <w:spacing w:after="0" w:line="240" w:lineRule="auto"/>
        <w:jc w:val="center"/>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005E6115" wp14:editId="3FBF2098">
            <wp:extent cx="3957278" cy="2968178"/>
            <wp:effectExtent l="0" t="0" r="571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1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60573" cy="2970649"/>
                    </a:xfrm>
                    <a:prstGeom prst="rect">
                      <a:avLst/>
                    </a:prstGeom>
                  </pic:spPr>
                </pic:pic>
              </a:graphicData>
            </a:graphic>
          </wp:inline>
        </w:drawing>
      </w:r>
    </w:p>
    <w:tbl>
      <w:tblPr>
        <w:tblW w:w="0" w:type="auto"/>
        <w:tblLook w:val="04A0" w:firstRow="1" w:lastRow="0" w:firstColumn="1" w:lastColumn="0" w:noHBand="0" w:noVBand="1"/>
      </w:tblPr>
      <w:tblGrid>
        <w:gridCol w:w="4753"/>
        <w:gridCol w:w="4489"/>
      </w:tblGrid>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R19IMN (seaweed)</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2A5285B0" wp14:editId="3ADF6A68">
                  <wp:extent cx="2950669" cy="2213166"/>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1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53344" cy="2215172"/>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R21IMN (no seaweed)</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63411E4" wp14:editId="569F3CC1">
                  <wp:extent cx="2776293" cy="2082373"/>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84281" cy="2088364"/>
                          </a:xfrm>
                          <a:prstGeom prst="rect">
                            <a:avLst/>
                          </a:prstGeom>
                        </pic:spPr>
                      </pic:pic>
                    </a:graphicData>
                  </a:graphic>
                </wp:inline>
              </w:drawing>
            </w:r>
          </w:p>
        </w:tc>
      </w:tr>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R20IMN (seaweed)</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D242AEA" wp14:editId="7F8F3277">
                  <wp:extent cx="2817272" cy="2113110"/>
                  <wp:effectExtent l="0" t="0" r="254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1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19617" cy="2114869"/>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R22IMN (no seaweed)</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93C02EB" wp14:editId="1E48BD6D">
                  <wp:extent cx="2694336" cy="202090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2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96578" cy="2022583"/>
                          </a:xfrm>
                          <a:prstGeom prst="rect">
                            <a:avLst/>
                          </a:prstGeom>
                        </pic:spPr>
                      </pic:pic>
                    </a:graphicData>
                  </a:graphic>
                </wp:inline>
              </w:drawing>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Average Dry Matter yield is higher in the seaweed plot (2.7) than outside (1.5)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There appears to be lower %cover of broadleaves within the seaweed plot than in adjacent areas and a corresponding increase in %grass cover.</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Average total species number per releve is higher outside the seaweed plot than inside</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b/>
          <w:i/>
          <w:sz w:val="24"/>
          <w:szCs w:val="24"/>
          <w:lang w:val="en-GB" w:eastAsia="en-GB"/>
        </w:rPr>
        <w:t>Rhinanthus minor</w:t>
      </w:r>
      <w:r w:rsidRPr="006A49F8">
        <w:rPr>
          <w:rFonts w:ascii="Times New Roman" w:eastAsia="Times New Roman" w:hAnsi="Times New Roman" w:cs="Times New Roman"/>
          <w:sz w:val="24"/>
          <w:szCs w:val="24"/>
          <w:lang w:val="en-GB" w:eastAsia="en-GB"/>
        </w:rPr>
        <w:t xml:space="preserve"> and </w:t>
      </w:r>
      <w:r w:rsidRPr="006A49F8">
        <w:rPr>
          <w:rFonts w:ascii="Times New Roman" w:eastAsia="Times New Roman" w:hAnsi="Times New Roman" w:cs="Times New Roman"/>
          <w:b/>
          <w:i/>
          <w:sz w:val="24"/>
          <w:szCs w:val="24"/>
          <w:lang w:val="en-GB" w:eastAsia="en-GB"/>
        </w:rPr>
        <w:t>Euphrasia officinalis</w:t>
      </w:r>
      <w:r w:rsidRPr="006A49F8">
        <w:rPr>
          <w:rFonts w:ascii="Times New Roman" w:eastAsia="Times New Roman" w:hAnsi="Times New Roman" w:cs="Times New Roman"/>
          <w:sz w:val="24"/>
          <w:szCs w:val="24"/>
          <w:lang w:val="en-GB" w:eastAsia="en-GB"/>
        </w:rPr>
        <w:t xml:space="preserve"> agg (positive indicator species) only occur in both relevés outside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No suite of species occur only in both seaweed plot releves </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i/>
          <w:sz w:val="24"/>
          <w:szCs w:val="24"/>
          <w:lang w:val="en-GB" w:eastAsia="en-GB"/>
        </w:rPr>
        <w:t>Rhytidiadelphus squarrosus</w:t>
      </w:r>
      <w:r w:rsidRPr="006A49F8">
        <w:rPr>
          <w:rFonts w:ascii="Times New Roman" w:eastAsia="Times New Roman" w:hAnsi="Times New Roman" w:cs="Times New Roman"/>
          <w:sz w:val="24"/>
          <w:szCs w:val="24"/>
          <w:lang w:val="en-GB" w:eastAsia="en-GB"/>
        </w:rPr>
        <w:t xml:space="preserve"> cover is reduced within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Seven positive indicator species occur in relevés outside of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Four positive indicator species occur within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Two negative indicator species occur both within and outside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tbl>
      <w:tblPr>
        <w:tblW w:w="6760" w:type="dxa"/>
        <w:tblInd w:w="1440" w:type="dxa"/>
        <w:tblLook w:val="04A0" w:firstRow="1" w:lastRow="0" w:firstColumn="1" w:lastColumn="0" w:noHBand="0" w:noVBand="1"/>
      </w:tblPr>
      <w:tblGrid>
        <w:gridCol w:w="2920"/>
        <w:gridCol w:w="960"/>
        <w:gridCol w:w="960"/>
        <w:gridCol w:w="960"/>
        <w:gridCol w:w="960"/>
      </w:tblGrid>
      <w:tr w:rsidR="006A49F8" w:rsidRPr="006A49F8" w:rsidTr="001C25CC">
        <w:trPr>
          <w:trHeight w:val="227"/>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Plot 7_PM1</w:t>
            </w:r>
          </w:p>
        </w:tc>
        <w:tc>
          <w:tcPr>
            <w:tcW w:w="1920" w:type="dxa"/>
            <w:gridSpan w:val="2"/>
            <w:tcBorders>
              <w:top w:val="single" w:sz="4" w:space="0" w:color="auto"/>
              <w:left w:val="nil"/>
              <w:bottom w:val="single" w:sz="4" w:space="0" w:color="auto"/>
              <w:right w:val="single" w:sz="4" w:space="0" w:color="000000"/>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Seaweed</w:t>
            </w:r>
          </w:p>
        </w:tc>
        <w:tc>
          <w:tcPr>
            <w:tcW w:w="1920" w:type="dxa"/>
            <w:gridSpan w:val="2"/>
            <w:tcBorders>
              <w:top w:val="single" w:sz="4" w:space="0" w:color="auto"/>
              <w:left w:val="nil"/>
              <w:bottom w:val="single" w:sz="4" w:space="0" w:color="auto"/>
              <w:right w:val="single" w:sz="4" w:space="0" w:color="000000"/>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No Seaweed</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Relevé</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R19IMN</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R20IMN</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R21IMN</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R22IMN</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Bare ground</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Grass</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100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100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90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75</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Sedges</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Broadleaves</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45</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75</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80</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Bryophytes</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25</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70</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DM yield(t) per ha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3.5548</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1.812</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0.978</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1.9916</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Total species no.</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18</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Rhinanthus minor</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xml:space="preserve">Euphrasia officinalis agg.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Plantago  lanceolata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Asperula cynanchica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Galium verum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6</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6</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7</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7</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Trifolium repens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6</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Lotus corniculatus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6</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Cerastium fontanum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Dactylis glomerata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Senecio jacobaea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3</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Arrhenatherum elatius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8</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8</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7</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8</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Veronica chamaedrys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7</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Rhytidiadelphs squarrosus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8</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8</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Rumex acetosa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Daucus carota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Festuca ovina/rubra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7</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7</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8</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Scleropodium purum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7</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Poa pratensis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Carex arenaria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Ranunculus bulbosus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Chenopodium album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Geraanium sanguineum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000000" w:fill="FFFFFF"/>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Agrostis capillaris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Galium saxatile</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Galium spp</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Campanula rotundifolia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Holcus lanatus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Calliergonella cuspidatum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Elytrigia repens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Centaurea nigra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Ranunculus acris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Trifolium dubium</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lastRenderedPageBreak/>
              <w:t>Anthylis vulneraria</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Crepis capillaris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Luzula campestris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27"/>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Ranunculus repens</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Plot 8 RC1</w:t>
      </w:r>
    </w:p>
    <w:p w:rsidR="006A49F8" w:rsidRPr="006A49F8" w:rsidRDefault="006A49F8" w:rsidP="006A49F8">
      <w:pPr>
        <w:spacing w:after="0" w:line="240" w:lineRule="auto"/>
        <w:jc w:val="center"/>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b/>
          <w:noProof/>
          <w:sz w:val="24"/>
          <w:szCs w:val="24"/>
          <w:lang w:val="en-GB" w:eastAsia="en-GB"/>
        </w:rPr>
        <w:drawing>
          <wp:inline distT="0" distB="0" distL="0" distR="0" wp14:anchorId="313D4B7C" wp14:editId="17859D1B">
            <wp:extent cx="4377690" cy="328351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79387" cy="3284783"/>
                    </a:xfrm>
                    <a:prstGeom prst="rect">
                      <a:avLst/>
                    </a:prstGeom>
                  </pic:spPr>
                </pic:pic>
              </a:graphicData>
            </a:graphic>
          </wp:inline>
        </w:drawing>
      </w:r>
    </w:p>
    <w:tbl>
      <w:tblPr>
        <w:tblW w:w="0" w:type="auto"/>
        <w:tblLook w:val="04A0" w:firstRow="1" w:lastRow="0" w:firstColumn="1" w:lastColumn="0" w:noHBand="0" w:noVBand="1"/>
      </w:tblPr>
      <w:tblGrid>
        <w:gridCol w:w="4564"/>
        <w:gridCol w:w="4678"/>
      </w:tblGrid>
      <w:tr w:rsidR="006A49F8" w:rsidRPr="006A49F8" w:rsidTr="001C25CC">
        <w:tc>
          <w:tcPr>
            <w:tcW w:w="4564"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R28IMN (seaweed) 02/07/15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4EF5CBB0" wp14:editId="4694073D">
                  <wp:extent cx="2798859" cy="2099298"/>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8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01916" cy="2101591"/>
                          </a:xfrm>
                          <a:prstGeom prst="rect">
                            <a:avLst/>
                          </a:prstGeom>
                        </pic:spPr>
                      </pic:pic>
                    </a:graphicData>
                  </a:graphic>
                </wp:inline>
              </w:drawing>
            </w:r>
          </w:p>
        </w:tc>
        <w:tc>
          <w:tcPr>
            <w:tcW w:w="4678"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R29IMN (seaweed) 02/07/15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2DFA069F" wp14:editId="6BDCD860">
                  <wp:extent cx="2745647" cy="205938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8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55034" cy="2066429"/>
                          </a:xfrm>
                          <a:prstGeom prst="rect">
                            <a:avLst/>
                          </a:prstGeom>
                        </pic:spPr>
                      </pic:pic>
                    </a:graphicData>
                  </a:graphic>
                </wp:inline>
              </w:drawing>
            </w:r>
          </w:p>
        </w:tc>
      </w:tr>
      <w:tr w:rsidR="006A49F8" w:rsidRPr="006A49F8" w:rsidTr="001C25CC">
        <w:tc>
          <w:tcPr>
            <w:tcW w:w="4564"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R30IMN (no seaweed) 02/07/15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lastRenderedPageBreak/>
              <w:drawing>
                <wp:inline distT="0" distB="0" distL="0" distR="0" wp14:anchorId="0D80CA74" wp14:editId="20E36DCE">
                  <wp:extent cx="2934031" cy="2200687"/>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8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37616" cy="2203376"/>
                          </a:xfrm>
                          <a:prstGeom prst="rect">
                            <a:avLst/>
                          </a:prstGeom>
                        </pic:spPr>
                      </pic:pic>
                    </a:graphicData>
                  </a:graphic>
                </wp:inline>
              </w:drawing>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tc>
        <w:tc>
          <w:tcPr>
            <w:tcW w:w="4678"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lastRenderedPageBreak/>
              <w:t>R31IMN (no seaweed) 02/07/15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lastRenderedPageBreak/>
              <w:drawing>
                <wp:inline distT="0" distB="0" distL="0" distR="0" wp14:anchorId="2D9B536E" wp14:editId="3ADC5D7B">
                  <wp:extent cx="3010673" cy="2258171"/>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9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16443" cy="2262499"/>
                          </a:xfrm>
                          <a:prstGeom prst="rect">
                            <a:avLst/>
                          </a:prstGeom>
                        </pic:spPr>
                      </pic:pic>
                    </a:graphicData>
                  </a:graphic>
                </wp:inline>
              </w:drawing>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There is a slight increase in species number in the seaweed plots (Average sp. no.  </w:t>
      </w:r>
      <w:proofErr w:type="gramStart"/>
      <w:r w:rsidRPr="006A49F8">
        <w:rPr>
          <w:rFonts w:ascii="Times New Roman" w:eastAsia="Times New Roman" w:hAnsi="Times New Roman" w:cs="Times New Roman"/>
          <w:sz w:val="24"/>
          <w:szCs w:val="24"/>
          <w:lang w:val="en-GB" w:eastAsia="en-GB"/>
        </w:rPr>
        <w:t>with</w:t>
      </w:r>
      <w:proofErr w:type="gramEnd"/>
      <w:r w:rsidRPr="006A49F8">
        <w:rPr>
          <w:rFonts w:ascii="Times New Roman" w:eastAsia="Times New Roman" w:hAnsi="Times New Roman" w:cs="Times New Roman"/>
          <w:sz w:val="24"/>
          <w:szCs w:val="24"/>
          <w:lang w:val="en-GB" w:eastAsia="en-GB"/>
        </w:rPr>
        <w:t xml:space="preserve"> seaweed=25.5; without seaweed = 21.5)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There is a slight increase in </w:t>
      </w:r>
      <w:proofErr w:type="gramStart"/>
      <w:r w:rsidRPr="006A49F8">
        <w:rPr>
          <w:rFonts w:ascii="Times New Roman" w:eastAsia="Times New Roman" w:hAnsi="Times New Roman" w:cs="Times New Roman"/>
          <w:sz w:val="24"/>
          <w:szCs w:val="24"/>
          <w:lang w:val="en-GB" w:eastAsia="en-GB"/>
        </w:rPr>
        <w:t>Dry  Matter</w:t>
      </w:r>
      <w:proofErr w:type="gramEnd"/>
      <w:r w:rsidRPr="006A49F8">
        <w:rPr>
          <w:rFonts w:ascii="Times New Roman" w:eastAsia="Times New Roman" w:hAnsi="Times New Roman" w:cs="Times New Roman"/>
          <w:sz w:val="24"/>
          <w:szCs w:val="24"/>
          <w:lang w:val="en-GB" w:eastAsia="en-GB"/>
        </w:rPr>
        <w:t xml:space="preserve"> yield in the  seaweed plot (Average DM yield with seaweed=1.2156; without seaweed = 0.8856)</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The % cover of grass and broadleaves increases within the seaweed plot, while the % </w:t>
      </w:r>
      <w:proofErr w:type="gramStart"/>
      <w:r w:rsidRPr="006A49F8">
        <w:rPr>
          <w:rFonts w:ascii="Times New Roman" w:eastAsia="Times New Roman" w:hAnsi="Times New Roman" w:cs="Times New Roman"/>
          <w:sz w:val="24"/>
          <w:szCs w:val="24"/>
          <w:lang w:val="en-GB" w:eastAsia="en-GB"/>
        </w:rPr>
        <w:t>cover</w:t>
      </w:r>
      <w:proofErr w:type="gramEnd"/>
      <w:r w:rsidRPr="006A49F8">
        <w:rPr>
          <w:rFonts w:ascii="Times New Roman" w:eastAsia="Times New Roman" w:hAnsi="Times New Roman" w:cs="Times New Roman"/>
          <w:sz w:val="24"/>
          <w:szCs w:val="24"/>
          <w:lang w:val="en-GB" w:eastAsia="en-GB"/>
        </w:rPr>
        <w:t xml:space="preserve"> bryophytes decreases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Species that do not occur in seaweed: </w:t>
      </w:r>
      <w:r w:rsidRPr="006A49F8">
        <w:rPr>
          <w:rFonts w:ascii="Times New Roman" w:eastAsia="Times New Roman" w:hAnsi="Times New Roman" w:cs="Times New Roman"/>
          <w:i/>
          <w:sz w:val="24"/>
          <w:szCs w:val="24"/>
          <w:lang w:val="en-GB" w:eastAsia="en-GB"/>
        </w:rPr>
        <w:t>Scleropodium purum</w:t>
      </w:r>
    </w:p>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sz w:val="24"/>
          <w:szCs w:val="24"/>
          <w:lang w:val="en-GB" w:eastAsia="en-GB"/>
        </w:rPr>
        <w:t xml:space="preserve">Species that only occur within the seaweed plot: </w:t>
      </w:r>
      <w:r w:rsidRPr="006A49F8">
        <w:rPr>
          <w:rFonts w:ascii="Times New Roman" w:eastAsia="Times New Roman" w:hAnsi="Times New Roman" w:cs="Times New Roman"/>
          <w:i/>
          <w:sz w:val="24"/>
          <w:szCs w:val="24"/>
          <w:lang w:val="en-GB" w:eastAsia="en-GB"/>
        </w:rPr>
        <w:t>Stellaria media</w:t>
      </w:r>
      <w:r w:rsidRPr="006A49F8">
        <w:rPr>
          <w:rFonts w:ascii="Times New Roman" w:eastAsia="Times New Roman" w:hAnsi="Times New Roman" w:cs="Times New Roman"/>
          <w:sz w:val="24"/>
          <w:szCs w:val="24"/>
          <w:lang w:val="en-GB" w:eastAsia="en-GB"/>
        </w:rPr>
        <w:t xml:space="preserve">, </w:t>
      </w:r>
      <w:r w:rsidRPr="006A49F8">
        <w:rPr>
          <w:rFonts w:ascii="Times New Roman" w:eastAsia="Times New Roman" w:hAnsi="Times New Roman" w:cs="Times New Roman"/>
          <w:i/>
          <w:sz w:val="24"/>
          <w:szCs w:val="24"/>
          <w:lang w:val="en-GB" w:eastAsia="en-GB"/>
        </w:rPr>
        <w:t>Hypochaeris radicata</w:t>
      </w:r>
      <w:r w:rsidRPr="006A49F8">
        <w:rPr>
          <w:rFonts w:ascii="Times New Roman" w:eastAsia="Times New Roman" w:hAnsi="Times New Roman" w:cs="Times New Roman"/>
          <w:sz w:val="24"/>
          <w:szCs w:val="24"/>
          <w:lang w:val="en-GB" w:eastAsia="en-GB"/>
        </w:rPr>
        <w:t xml:space="preserve">, </w:t>
      </w:r>
      <w:r w:rsidRPr="006A49F8">
        <w:rPr>
          <w:rFonts w:ascii="Times New Roman" w:eastAsia="Times New Roman" w:hAnsi="Times New Roman" w:cs="Times New Roman"/>
          <w:i/>
          <w:sz w:val="24"/>
          <w:szCs w:val="24"/>
          <w:lang w:val="en-GB" w:eastAsia="en-GB"/>
        </w:rPr>
        <w:t>Dicranum scoparium.</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Fifteen positive indicator species and one negative indicator species were recorded in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Nine positive indicator and two negative indicator species were recorded outside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tbl>
      <w:tblPr>
        <w:tblW w:w="0" w:type="auto"/>
        <w:tblInd w:w="2093" w:type="dxa"/>
        <w:tblLook w:val="04A0" w:firstRow="1" w:lastRow="0" w:firstColumn="1" w:lastColumn="0" w:noHBand="0" w:noVBand="1"/>
      </w:tblPr>
      <w:tblGrid>
        <w:gridCol w:w="2714"/>
        <w:gridCol w:w="757"/>
        <w:gridCol w:w="757"/>
        <w:gridCol w:w="757"/>
        <w:gridCol w:w="757"/>
      </w:tblGrid>
      <w:tr w:rsidR="006A49F8" w:rsidRPr="006A49F8" w:rsidTr="001C25CC">
        <w:trPr>
          <w:trHeight w:val="20"/>
        </w:trPr>
        <w:tc>
          <w:tcPr>
            <w:tcW w:w="27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Times New Roman" w:eastAsia="Times New Roman" w:hAnsi="Times New Roman" w:cs="Times New Roman"/>
                <w:sz w:val="24"/>
                <w:szCs w:val="24"/>
                <w:lang w:val="en-GB" w:eastAsia="en-GB"/>
              </w:rPr>
              <w:br w:type="page"/>
            </w:r>
            <w:r w:rsidRPr="006A49F8">
              <w:rPr>
                <w:rFonts w:ascii="Calibri" w:eastAsia="Times New Roman" w:hAnsi="Calibri" w:cs="Times New Roman"/>
                <w:b/>
                <w:color w:val="000000"/>
                <w:sz w:val="16"/>
                <w:szCs w:val="16"/>
                <w:lang w:val="en-GB" w:eastAsia="en-GB"/>
              </w:rPr>
              <w:t>Plot8_RC1</w:t>
            </w:r>
          </w:p>
        </w:tc>
        <w:tc>
          <w:tcPr>
            <w:tcW w:w="0" w:type="auto"/>
            <w:gridSpan w:val="2"/>
            <w:tcBorders>
              <w:top w:val="single" w:sz="4" w:space="0" w:color="auto"/>
              <w:left w:val="nil"/>
              <w:bottom w:val="single" w:sz="4" w:space="0" w:color="auto"/>
              <w:right w:val="single" w:sz="4" w:space="0" w:color="000000"/>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Seaweed</w:t>
            </w:r>
          </w:p>
        </w:tc>
        <w:tc>
          <w:tcPr>
            <w:tcW w:w="0" w:type="auto"/>
            <w:gridSpan w:val="2"/>
            <w:tcBorders>
              <w:top w:val="single" w:sz="4" w:space="0" w:color="auto"/>
              <w:left w:val="nil"/>
              <w:bottom w:val="single" w:sz="4" w:space="0" w:color="auto"/>
              <w:right w:val="single" w:sz="4" w:space="0" w:color="000000"/>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no Seaweed</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Relevé no.</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R28IMN</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R29IMN</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R30IMN</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R31IMN</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DM yield(t) per ha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1.066</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1.3652</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0.8552</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0.916</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bare ground</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2</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grass</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30</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10</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15</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sedge</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7</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&lt;1</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broadleaves</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70</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50</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50</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30</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bryophytes</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45</w:t>
            </w:r>
          </w:p>
        </w:tc>
        <w:tc>
          <w:tcPr>
            <w:tcW w:w="0" w:type="auto"/>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70</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90</w:t>
            </w:r>
          </w:p>
        </w:tc>
        <w:tc>
          <w:tcPr>
            <w:tcW w:w="0" w:type="auto"/>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100</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Total species no.</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24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27</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26</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17</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 </w:t>
            </w:r>
          </w:p>
        </w:tc>
        <w:tc>
          <w:tcPr>
            <w:tcW w:w="0" w:type="auto"/>
            <w:tcBorders>
              <w:top w:val="nil"/>
              <w:left w:val="nil"/>
              <w:bottom w:val="nil"/>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nil"/>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sz w:val="16"/>
                <w:szCs w:val="16"/>
                <w:lang w:val="en-GB" w:eastAsia="en-GB"/>
              </w:rPr>
            </w:pPr>
            <w:r w:rsidRPr="006A49F8">
              <w:rPr>
                <w:rFonts w:ascii="Calibri" w:eastAsia="Times New Roman" w:hAnsi="Calibri" w:cs="Times New Roman"/>
                <w:sz w:val="16"/>
                <w:szCs w:val="16"/>
                <w:lang w:val="en-GB" w:eastAsia="en-GB"/>
              </w:rPr>
              <w:t>Stellaria media</w:t>
            </w:r>
          </w:p>
        </w:tc>
        <w:tc>
          <w:tcPr>
            <w:tcW w:w="0" w:type="auto"/>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sz w:val="16"/>
                <w:szCs w:val="16"/>
                <w:lang w:val="en-GB" w:eastAsia="en-GB"/>
              </w:rPr>
            </w:pPr>
            <w:r w:rsidRPr="006A49F8">
              <w:rPr>
                <w:rFonts w:ascii="Calibri" w:eastAsia="Times New Roman" w:hAnsi="Calibri" w:cs="Times New Roman"/>
                <w:sz w:val="16"/>
                <w:szCs w:val="16"/>
                <w:lang w:val="en-GB" w:eastAsia="en-GB"/>
              </w:rPr>
              <w:t>1</w:t>
            </w:r>
          </w:p>
        </w:tc>
        <w:tc>
          <w:tcPr>
            <w:tcW w:w="0" w:type="auto"/>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sz w:val="16"/>
                <w:szCs w:val="16"/>
                <w:lang w:val="en-GB" w:eastAsia="en-GB"/>
              </w:rPr>
            </w:pPr>
            <w:r w:rsidRPr="006A49F8">
              <w:rPr>
                <w:rFonts w:ascii="Calibri" w:eastAsia="Times New Roman" w:hAnsi="Calibri" w:cs="Times New Roman"/>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Hypochaeris radicata</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Dicranum scoparium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Scleropodium purum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6</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5</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 </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Rhytidiadelphs squarrosus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7</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8</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8</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8</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Plantago  lanceolata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Festuca rubra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Luzula campestris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Trifolium dubium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Galium verum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8</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Trifolium repens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Rhinanthus minor</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sz w:val="16"/>
                <w:szCs w:val="16"/>
                <w:lang w:val="en-GB" w:eastAsia="en-GB"/>
              </w:rPr>
            </w:pPr>
            <w:r w:rsidRPr="006A49F8">
              <w:rPr>
                <w:rFonts w:ascii="Calibri" w:eastAsia="Times New Roman" w:hAnsi="Calibri" w:cs="Times New Roman"/>
                <w:b/>
                <w:sz w:val="16"/>
                <w:szCs w:val="16"/>
                <w:lang w:val="en-GB" w:eastAsia="en-GB"/>
              </w:rPr>
              <w:t>7</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7</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6</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Asperula cynanchica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7</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7</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Lotus corniculatus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Anthylis vulneraria</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5</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Cerastium fontanum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r w:rsidRPr="006A49F8">
              <w:rPr>
                <w:rFonts w:ascii="Calibri" w:eastAsia="Times New Roman" w:hAnsi="Calibri" w:cs="Times New Roman"/>
                <w:color w:val="000000"/>
                <w:sz w:val="16"/>
                <w:szCs w:val="16"/>
                <w:u w:val="single"/>
                <w:lang w:val="en-GB" w:eastAsia="en-GB"/>
              </w:rPr>
              <w:t>Arrhenatherum elatius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r w:rsidRPr="006A49F8">
              <w:rPr>
                <w:rFonts w:ascii="Calibri" w:eastAsia="Times New Roman" w:hAnsi="Calibri" w:cs="Times New Roman"/>
                <w:color w:val="000000"/>
                <w:sz w:val="16"/>
                <w:szCs w:val="16"/>
                <w:u w:val="single"/>
                <w:lang w:val="en-GB" w:eastAsia="en-GB"/>
              </w:rPr>
              <w:t>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r w:rsidRPr="006A49F8">
              <w:rPr>
                <w:rFonts w:ascii="Calibri" w:eastAsia="Times New Roman" w:hAnsi="Calibri" w:cs="Times New Roman"/>
                <w:color w:val="000000"/>
                <w:sz w:val="16"/>
                <w:szCs w:val="16"/>
                <w:u w:val="single"/>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r w:rsidRPr="006A49F8">
              <w:rPr>
                <w:rFonts w:ascii="Calibri" w:eastAsia="Times New Roman" w:hAnsi="Calibri" w:cs="Times New Roman"/>
                <w:color w:val="000000"/>
                <w:sz w:val="16"/>
                <w:szCs w:val="16"/>
                <w:u w:val="single"/>
                <w:lang w:val="en-GB" w:eastAsia="en-GB"/>
              </w:rPr>
              <w:t>4</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lastRenderedPageBreak/>
              <w:t>Veronica chamaedrys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Ranunculus repens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Pillosella officinarum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Homalothecium lutescens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Cerastium glomeratum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Sagina nodosa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Carex sp.</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 xml:space="preserve">Euphrasia officinalis agg. </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6</w:t>
            </w:r>
          </w:p>
        </w:tc>
        <w:tc>
          <w:tcPr>
            <w:tcW w:w="0" w:type="auto"/>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nil"/>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Syntrichium ruralis</w:t>
            </w:r>
          </w:p>
        </w:tc>
        <w:tc>
          <w:tcPr>
            <w:tcW w:w="0" w:type="auto"/>
            <w:tcBorders>
              <w:top w:val="nil"/>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Leontodon taraxacoides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000000" w:fill="FFFFFF"/>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Agrostis sp</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Thymus polytrichum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Blackstonia perfoliata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Carex flacca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Daucus carota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Cladonia sp.</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 xml:space="preserve">Viola sp. </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Campanula rotundifolia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Peltigera canina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Achillea millefolium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Bromus hordeaceus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Dactylis glomerata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r w:rsidRPr="006A49F8">
              <w:rPr>
                <w:rFonts w:ascii="Calibri" w:eastAsia="Times New Roman" w:hAnsi="Calibri" w:cs="Times New Roman"/>
                <w:color w:val="000000"/>
                <w:sz w:val="16"/>
                <w:szCs w:val="16"/>
                <w:u w:val="single"/>
                <w:lang w:val="en-GB" w:eastAsia="en-GB"/>
              </w:rPr>
              <w:t>Senecio jacobaea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r w:rsidRPr="006A49F8">
              <w:rPr>
                <w:rFonts w:ascii="Calibri" w:eastAsia="Times New Roman" w:hAnsi="Calibri" w:cs="Times New Roman"/>
                <w:color w:val="000000"/>
                <w:sz w:val="16"/>
                <w:szCs w:val="16"/>
                <w:u w:val="single"/>
                <w:lang w:val="en-GB" w:eastAsia="en-GB"/>
              </w:rPr>
              <w:t>4</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u w:val="single"/>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Anacamptis pyramidalis</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w:t>
            </w: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Calliergonella cuspidatum</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Rumex acetosa</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r>
      <w:tr w:rsidR="006A49F8" w:rsidRPr="006A49F8" w:rsidTr="001C25CC">
        <w:trPr>
          <w:trHeight w:val="20"/>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Leucanthemum vulgare</w:t>
            </w: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p>
        </w:tc>
        <w:tc>
          <w:tcPr>
            <w:tcW w:w="0" w:type="auto"/>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br w:type="page"/>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Plot 9_RC2</w:t>
      </w:r>
    </w:p>
    <w:p w:rsidR="006A49F8" w:rsidRPr="006A49F8" w:rsidRDefault="006A49F8" w:rsidP="006A49F8">
      <w:pPr>
        <w:spacing w:after="0" w:line="240" w:lineRule="auto"/>
        <w:jc w:val="center"/>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noProof/>
          <w:sz w:val="24"/>
          <w:szCs w:val="24"/>
          <w:lang w:val="en-GB" w:eastAsia="en-GB"/>
        </w:rPr>
        <w:drawing>
          <wp:inline distT="0" distB="0" distL="0" distR="0" wp14:anchorId="38712258" wp14:editId="673F51BF">
            <wp:extent cx="3589020" cy="269196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3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96210" cy="2697357"/>
                    </a:xfrm>
                    <a:prstGeom prst="rect">
                      <a:avLst/>
                    </a:prstGeom>
                  </pic:spPr>
                </pic:pic>
              </a:graphicData>
            </a:graphic>
          </wp:inline>
        </w:drawing>
      </w:r>
    </w:p>
    <w:tbl>
      <w:tblPr>
        <w:tblW w:w="0" w:type="auto"/>
        <w:tblLook w:val="04A0" w:firstRow="1" w:lastRow="0" w:firstColumn="1" w:lastColumn="0" w:noHBand="0" w:noVBand="1"/>
      </w:tblPr>
      <w:tblGrid>
        <w:gridCol w:w="4580"/>
        <w:gridCol w:w="4662"/>
      </w:tblGrid>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R33IMN  02/07/2015 seaweed</w:t>
            </w:r>
            <w:r w:rsidRPr="006A49F8">
              <w:rPr>
                <w:rFonts w:ascii="Times New Roman" w:eastAsia="Times New Roman" w:hAnsi="Times New Roman" w:cs="Times New Roman"/>
                <w:b/>
                <w:noProof/>
                <w:sz w:val="24"/>
                <w:szCs w:val="24"/>
                <w:lang w:val="en-GB" w:eastAsia="en-GB"/>
              </w:rPr>
              <w:drawing>
                <wp:inline distT="0" distB="0" distL="0" distR="0" wp14:anchorId="65710DC0" wp14:editId="3D2965C7">
                  <wp:extent cx="2899229" cy="217458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01642" cy="2176392"/>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R32IMN 02/07/2015 no seaweed</w:t>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noProof/>
                <w:sz w:val="24"/>
                <w:szCs w:val="24"/>
                <w:lang w:val="en-GB" w:eastAsia="en-GB"/>
              </w:rPr>
              <w:drawing>
                <wp:inline distT="0" distB="0" distL="0" distR="0" wp14:anchorId="708F0EAB" wp14:editId="3B32A22B">
                  <wp:extent cx="2950450" cy="2213002"/>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9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52906" cy="2214844"/>
                          </a:xfrm>
                          <a:prstGeom prst="rect">
                            <a:avLst/>
                          </a:prstGeom>
                        </pic:spPr>
                      </pic:pic>
                    </a:graphicData>
                  </a:graphic>
                </wp:inline>
              </w:drawing>
            </w:r>
          </w:p>
        </w:tc>
      </w:tr>
    </w:tbl>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There is a slight increase in Dry Matter yield within the seaweed plot though there is also a decrease in the number of species.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There %cover of broadleaves and grasses is greater within the seaweed plot than outside while the %cover of sedges and bryophytes is less within the seaweed plot than outside.</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Species which increase in cover/abundance with seaweed: </w:t>
      </w:r>
      <w:r w:rsidRPr="006A49F8">
        <w:rPr>
          <w:rFonts w:ascii="Times New Roman" w:eastAsia="Times New Roman" w:hAnsi="Times New Roman" w:cs="Times New Roman"/>
          <w:i/>
          <w:sz w:val="24"/>
          <w:szCs w:val="24"/>
          <w:lang w:val="en-GB" w:eastAsia="en-GB"/>
        </w:rPr>
        <w:t>Festuca rubra, Asperula cynanchica, Galium verum, Centaurium erythraea, Cerastium glomeratum</w:t>
      </w:r>
      <w:r w:rsidRPr="006A49F8">
        <w:rPr>
          <w:rFonts w:ascii="Times New Roman" w:eastAsia="Times New Roman" w:hAnsi="Times New Roman" w:cs="Times New Roman"/>
          <w:sz w:val="24"/>
          <w:szCs w:val="24"/>
          <w:lang w:val="en-GB" w:eastAsia="en-GB"/>
        </w:rPr>
        <w:t xml:space="preserve"> and </w:t>
      </w:r>
      <w:r w:rsidRPr="006A49F8">
        <w:rPr>
          <w:rFonts w:ascii="Times New Roman" w:eastAsia="Times New Roman" w:hAnsi="Times New Roman" w:cs="Times New Roman"/>
          <w:i/>
          <w:sz w:val="24"/>
          <w:szCs w:val="24"/>
          <w:lang w:val="en-GB" w:eastAsia="en-GB"/>
        </w:rPr>
        <w:t>Blackstonia perfoliata</w:t>
      </w:r>
      <w:r w:rsidRPr="006A49F8">
        <w:rPr>
          <w:rFonts w:ascii="Times New Roman" w:eastAsia="Times New Roman" w:hAnsi="Times New Roman" w:cs="Times New Roman"/>
          <w:sz w:val="24"/>
          <w:szCs w:val="24"/>
          <w:lang w:val="en-GB" w:eastAsia="en-GB"/>
        </w:rPr>
        <w: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Species which decrease in cover/abundance with seaweed: Syntrichia ruralis, Stellaria sp, Hypochaeris radicata, Trifolium dubium and Dicranum scoparium.</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A range of species</w:t>
      </w:r>
      <w:r w:rsidRPr="006A49F8">
        <w:rPr>
          <w:rFonts w:ascii="Times New Roman" w:eastAsia="Times New Roman" w:hAnsi="Times New Roman" w:cs="Times New Roman"/>
          <w:b/>
          <w:sz w:val="24"/>
          <w:szCs w:val="24"/>
          <w:lang w:val="en-GB" w:eastAsia="en-GB"/>
        </w:rPr>
        <w:t xml:space="preserve"> </w:t>
      </w:r>
      <w:r w:rsidRPr="006A49F8">
        <w:rPr>
          <w:rFonts w:ascii="Times New Roman" w:eastAsia="Times New Roman" w:hAnsi="Times New Roman" w:cs="Times New Roman"/>
          <w:sz w:val="24"/>
          <w:szCs w:val="24"/>
          <w:lang w:val="en-GB" w:eastAsia="en-GB"/>
        </w:rPr>
        <w:t xml:space="preserve">only occur within the seaweed plot and </w:t>
      </w:r>
      <w:proofErr w:type="gramStart"/>
      <w:r w:rsidRPr="006A49F8">
        <w:rPr>
          <w:rFonts w:ascii="Times New Roman" w:eastAsia="Times New Roman" w:hAnsi="Times New Roman" w:cs="Times New Roman"/>
          <w:sz w:val="24"/>
          <w:szCs w:val="24"/>
          <w:lang w:val="en-GB" w:eastAsia="en-GB"/>
        </w:rPr>
        <w:t>a range only occur</w:t>
      </w:r>
      <w:proofErr w:type="gramEnd"/>
      <w:r w:rsidRPr="006A49F8">
        <w:rPr>
          <w:rFonts w:ascii="Times New Roman" w:eastAsia="Times New Roman" w:hAnsi="Times New Roman" w:cs="Times New Roman"/>
          <w:sz w:val="24"/>
          <w:szCs w:val="24"/>
          <w:lang w:val="en-GB" w:eastAsia="en-GB"/>
        </w:rPr>
        <w:t xml:space="preserve"> outside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tbl>
      <w:tblPr>
        <w:tblW w:w="6220" w:type="dxa"/>
        <w:tblInd w:w="1440" w:type="dxa"/>
        <w:tblLook w:val="04A0" w:firstRow="1" w:lastRow="0" w:firstColumn="1" w:lastColumn="0" w:noHBand="0" w:noVBand="1"/>
      </w:tblPr>
      <w:tblGrid>
        <w:gridCol w:w="3520"/>
        <w:gridCol w:w="1240"/>
        <w:gridCol w:w="1460"/>
      </w:tblGrid>
      <w:tr w:rsidR="006A49F8" w:rsidRPr="006A49F8" w:rsidTr="001C25CC">
        <w:trPr>
          <w:trHeight w:val="20"/>
        </w:trPr>
        <w:tc>
          <w:tcPr>
            <w:tcW w:w="3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Plot9_RC2</w:t>
            </w:r>
          </w:p>
        </w:tc>
        <w:tc>
          <w:tcPr>
            <w:tcW w:w="124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Seaweed</w:t>
            </w:r>
          </w:p>
        </w:tc>
        <w:tc>
          <w:tcPr>
            <w:tcW w:w="14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No Seaweed</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Relevé no.</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R33IMN</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R32IMN</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DM yield(t) per ha</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0.772</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0.5398</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bare ground</w:t>
            </w:r>
          </w:p>
        </w:tc>
        <w:tc>
          <w:tcPr>
            <w:tcW w:w="124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c>
          <w:tcPr>
            <w:tcW w:w="14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grass</w:t>
            </w:r>
          </w:p>
        </w:tc>
        <w:tc>
          <w:tcPr>
            <w:tcW w:w="124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40</w:t>
            </w:r>
          </w:p>
        </w:tc>
        <w:tc>
          <w:tcPr>
            <w:tcW w:w="14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15</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lastRenderedPageBreak/>
              <w:t>% sedge</w:t>
            </w:r>
          </w:p>
        </w:tc>
        <w:tc>
          <w:tcPr>
            <w:tcW w:w="124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w:t>
            </w:r>
          </w:p>
        </w:tc>
        <w:tc>
          <w:tcPr>
            <w:tcW w:w="14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10</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broadleaves</w:t>
            </w:r>
          </w:p>
        </w:tc>
        <w:tc>
          <w:tcPr>
            <w:tcW w:w="124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80</w:t>
            </w:r>
          </w:p>
        </w:tc>
        <w:tc>
          <w:tcPr>
            <w:tcW w:w="14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50</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 bryophytes</w:t>
            </w:r>
          </w:p>
        </w:tc>
        <w:tc>
          <w:tcPr>
            <w:tcW w:w="124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60</w:t>
            </w:r>
          </w:p>
        </w:tc>
        <w:tc>
          <w:tcPr>
            <w:tcW w:w="14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90</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Total species no.</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23</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26</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Festuca rubra</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7</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Asperula cynanchica</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8</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7</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Galium verum</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6</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Centaurium erythraea</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Cerastium glomeratum</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Blackstonia perfoliata</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Syntrichium ruralis</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6</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sz w:val="18"/>
                <w:szCs w:val="18"/>
                <w:lang w:val="en-GB" w:eastAsia="en-GB"/>
              </w:rPr>
            </w:pPr>
            <w:r w:rsidRPr="006A49F8">
              <w:rPr>
                <w:rFonts w:ascii="Calibri" w:eastAsia="Times New Roman" w:hAnsi="Calibri" w:cs="Times New Roman"/>
                <w:sz w:val="18"/>
                <w:szCs w:val="18"/>
                <w:lang w:val="en-GB" w:eastAsia="en-GB"/>
              </w:rPr>
              <w:t>Stellaria media</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sz w:val="18"/>
                <w:szCs w:val="18"/>
                <w:lang w:val="en-GB" w:eastAsia="en-GB"/>
              </w:rPr>
            </w:pPr>
            <w:r w:rsidRPr="006A49F8">
              <w:rPr>
                <w:rFonts w:ascii="Calibri" w:eastAsia="Times New Roman" w:hAnsi="Calibri" w:cs="Times New Roman"/>
                <w:sz w:val="18"/>
                <w:szCs w:val="18"/>
                <w:lang w:val="en-GB" w:eastAsia="en-GB"/>
              </w:rPr>
              <w:t>1</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sz w:val="18"/>
                <w:szCs w:val="18"/>
                <w:lang w:val="en-GB" w:eastAsia="en-GB"/>
              </w:rPr>
            </w:pPr>
            <w:r w:rsidRPr="006A49F8">
              <w:rPr>
                <w:rFonts w:ascii="Calibri" w:eastAsia="Times New Roman" w:hAnsi="Calibri" w:cs="Times New Roman"/>
                <w:sz w:val="18"/>
                <w:szCs w:val="18"/>
                <w:lang w:val="en-GB" w:eastAsia="en-GB"/>
              </w:rPr>
              <w:t>3</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Hypochaeris radicata</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Trifolium dubium</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Dicranum scoparium</w:t>
            </w:r>
          </w:p>
        </w:tc>
        <w:tc>
          <w:tcPr>
            <w:tcW w:w="124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146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Carex flacca</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Luzula campestris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Plantago  lanceolata</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Lotus corniculatus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Anthylis vulneraria</w:t>
            </w:r>
          </w:p>
        </w:tc>
        <w:tc>
          <w:tcPr>
            <w:tcW w:w="124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14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Cerastium fontanum</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Dactylis glomerata</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Ranunculus repens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Calliergonella cuspidatum</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Poa pratensis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Linum catharticum</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Rhytidiadelphus triquetrus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c>
          <w:tcPr>
            <w:tcW w:w="1460" w:type="dxa"/>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Rhytidiadelphs squarrosus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14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Scleropodium purum</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Rhinanthus minor</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Trifolium repens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Campanula rotundifolia</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Pillosella officinarum</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Sagina nodosa</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Carex arenaria</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xml:space="preserve">Viola sp. </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Leontodon taraxacoides</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2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Phleum pratense</w:t>
            </w:r>
          </w:p>
        </w:tc>
        <w:tc>
          <w:tcPr>
            <w:tcW w:w="124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4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br w:type="page"/>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Plot 10_RC3</w:t>
      </w:r>
    </w:p>
    <w:p w:rsidR="006A49F8" w:rsidRPr="006A49F8" w:rsidRDefault="006A49F8" w:rsidP="006A49F8">
      <w:pPr>
        <w:spacing w:after="0" w:line="240" w:lineRule="auto"/>
        <w:jc w:val="center"/>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noProof/>
          <w:sz w:val="24"/>
          <w:szCs w:val="24"/>
          <w:lang w:val="en-GB" w:eastAsia="en-GB"/>
        </w:rPr>
        <w:drawing>
          <wp:inline distT="0" distB="0" distL="0" distR="0" wp14:anchorId="7A9CA18D" wp14:editId="65EE877F">
            <wp:extent cx="3322075" cy="24917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3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325518" cy="2494322"/>
                    </a:xfrm>
                    <a:prstGeom prst="rect">
                      <a:avLst/>
                    </a:prstGeom>
                  </pic:spPr>
                </pic:pic>
              </a:graphicData>
            </a:graphic>
          </wp:inline>
        </w:drawing>
      </w:r>
    </w:p>
    <w:tbl>
      <w:tblPr>
        <w:tblW w:w="0" w:type="auto"/>
        <w:tblLook w:val="04A0" w:firstRow="1" w:lastRow="0" w:firstColumn="1" w:lastColumn="0" w:noHBand="0" w:noVBand="1"/>
      </w:tblPr>
      <w:tblGrid>
        <w:gridCol w:w="4621"/>
        <w:gridCol w:w="4621"/>
      </w:tblGrid>
      <w:tr w:rsidR="006A49F8" w:rsidRPr="006A49F8" w:rsidTr="001C25C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R35IMN Seaweed 02/07/2015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6C810792" wp14:editId="2D0C61FA">
                  <wp:extent cx="2742998" cy="20574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0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56893" cy="2067822"/>
                          </a:xfrm>
                          <a:prstGeom prst="rect">
                            <a:avLst/>
                          </a:prstGeom>
                        </pic:spPr>
                      </pic:pic>
                    </a:graphicData>
                  </a:graphic>
                </wp:inline>
              </w:drawing>
            </w:r>
          </w:p>
        </w:tc>
        <w:tc>
          <w:tcPr>
            <w:tcW w:w="462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R34IMN No Seaweed 02/07/2015</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23CBB0D1" wp14:editId="584AFE2B">
                  <wp:extent cx="2743200" cy="205755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0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50545" cy="2063061"/>
                          </a:xfrm>
                          <a:prstGeom prst="rect">
                            <a:avLst/>
                          </a:prstGeom>
                        </pic:spPr>
                      </pic:pic>
                    </a:graphicData>
                  </a:graphic>
                </wp:inline>
              </w:drawing>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Low Dry Matter yield and species number occur within the seaweed plot, however, this tallies with the high %bare ground and lower %cover of grasses, broadleaves and bryophytes within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Sedge cover is greater within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There are 8 positive indicator species within releve located outside the seaweed plot. There are 4 positive indicator species within the seaweed plot. Negative indicator species are absent from releveés both within and outside the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Species that increase in cover/abundance in seaweed plot: </w:t>
      </w:r>
      <w:r w:rsidRPr="006A49F8">
        <w:rPr>
          <w:rFonts w:ascii="Times New Roman" w:eastAsia="Times New Roman" w:hAnsi="Times New Roman" w:cs="Times New Roman"/>
          <w:i/>
          <w:sz w:val="24"/>
          <w:szCs w:val="24"/>
          <w:lang w:val="en-GB" w:eastAsia="en-GB"/>
        </w:rPr>
        <w:t xml:space="preserve">Hypochaeris radicata, Campanula rotundifolia </w:t>
      </w:r>
      <w:r w:rsidRPr="006A49F8">
        <w:rPr>
          <w:rFonts w:ascii="Times New Roman" w:eastAsia="Times New Roman" w:hAnsi="Times New Roman" w:cs="Times New Roman"/>
          <w:sz w:val="24"/>
          <w:szCs w:val="24"/>
          <w:lang w:val="en-GB" w:eastAsia="en-GB"/>
        </w:rPr>
        <w:t xml:space="preserve">and </w:t>
      </w:r>
      <w:r w:rsidRPr="006A49F8">
        <w:rPr>
          <w:rFonts w:ascii="Times New Roman" w:eastAsia="Times New Roman" w:hAnsi="Times New Roman" w:cs="Times New Roman"/>
          <w:i/>
          <w:sz w:val="24"/>
          <w:szCs w:val="24"/>
          <w:lang w:val="en-GB" w:eastAsia="en-GB"/>
        </w:rPr>
        <w:t>Sagina nodosa.</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Species that decreased in cover in the seaweed plot are </w:t>
      </w:r>
      <w:r w:rsidRPr="006A49F8">
        <w:rPr>
          <w:rFonts w:ascii="Times New Roman" w:eastAsia="Times New Roman" w:hAnsi="Times New Roman" w:cs="Times New Roman"/>
          <w:i/>
          <w:sz w:val="24"/>
          <w:szCs w:val="24"/>
          <w:lang w:val="en-GB" w:eastAsia="en-GB"/>
        </w:rPr>
        <w:t>Festuca rubra</w:t>
      </w:r>
      <w:r w:rsidRPr="006A49F8">
        <w:rPr>
          <w:rFonts w:ascii="Times New Roman" w:eastAsia="Times New Roman" w:hAnsi="Times New Roman" w:cs="Times New Roman"/>
          <w:sz w:val="24"/>
          <w:szCs w:val="24"/>
          <w:lang w:val="en-GB" w:eastAsia="en-GB"/>
        </w:rPr>
        <w:t xml:space="preserve"> and </w:t>
      </w:r>
      <w:r w:rsidRPr="006A49F8">
        <w:rPr>
          <w:rFonts w:ascii="Times New Roman" w:eastAsia="Times New Roman" w:hAnsi="Times New Roman" w:cs="Times New Roman"/>
          <w:i/>
          <w:sz w:val="24"/>
          <w:szCs w:val="24"/>
          <w:lang w:val="en-GB" w:eastAsia="en-GB"/>
        </w:rPr>
        <w:t>Asperula cynanchica</w:t>
      </w:r>
      <w:r w:rsidRPr="006A49F8">
        <w:rPr>
          <w:rFonts w:ascii="Times New Roman" w:eastAsia="Times New Roman" w:hAnsi="Times New Roman" w:cs="Times New Roman"/>
          <w:sz w:val="24"/>
          <w:szCs w:val="24"/>
          <w:lang w:val="en-GB" w:eastAsia="en-GB"/>
        </w:rPr>
        <w: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i/>
          <w:sz w:val="24"/>
          <w:szCs w:val="24"/>
          <w:lang w:val="en-GB" w:eastAsia="en-GB"/>
        </w:rPr>
        <w:t>Rhytidiadelphus squarrosus</w:t>
      </w:r>
      <w:r w:rsidRPr="006A49F8">
        <w:rPr>
          <w:rFonts w:ascii="Times New Roman" w:eastAsia="Times New Roman" w:hAnsi="Times New Roman" w:cs="Times New Roman"/>
          <w:sz w:val="24"/>
          <w:szCs w:val="24"/>
          <w:lang w:val="en-GB" w:eastAsia="en-GB"/>
        </w:rPr>
        <w:t xml:space="preserve"> is absent from the seaweed plot along with other bryophytes, </w:t>
      </w:r>
      <w:r w:rsidRPr="006A49F8">
        <w:rPr>
          <w:rFonts w:ascii="Times New Roman" w:eastAsia="Times New Roman" w:hAnsi="Times New Roman" w:cs="Times New Roman"/>
          <w:i/>
          <w:sz w:val="24"/>
          <w:szCs w:val="24"/>
          <w:lang w:val="en-GB" w:eastAsia="en-GB"/>
        </w:rPr>
        <w:t>Ctenidium moluscum, Scleropodium purum</w:t>
      </w:r>
      <w:r w:rsidRPr="006A49F8">
        <w:rPr>
          <w:rFonts w:ascii="Times New Roman" w:eastAsia="Times New Roman" w:hAnsi="Times New Roman" w:cs="Times New Roman"/>
          <w:sz w:val="24"/>
          <w:szCs w:val="24"/>
          <w:lang w:val="en-GB" w:eastAsia="en-GB"/>
        </w:rPr>
        <w: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tbl>
      <w:tblPr>
        <w:tblW w:w="7120" w:type="dxa"/>
        <w:tblInd w:w="720" w:type="dxa"/>
        <w:tblLook w:val="04A0" w:firstRow="1" w:lastRow="0" w:firstColumn="1" w:lastColumn="0" w:noHBand="0" w:noVBand="1"/>
      </w:tblPr>
      <w:tblGrid>
        <w:gridCol w:w="2460"/>
        <w:gridCol w:w="2260"/>
        <w:gridCol w:w="2400"/>
      </w:tblGrid>
      <w:tr w:rsidR="006A49F8" w:rsidRPr="006A49F8" w:rsidTr="001C25CC">
        <w:trPr>
          <w:trHeight w:val="20"/>
        </w:trPr>
        <w:tc>
          <w:tcPr>
            <w:tcW w:w="2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lastRenderedPageBreak/>
              <w:t>Plot10_RC3</w:t>
            </w:r>
          </w:p>
        </w:tc>
        <w:tc>
          <w:tcPr>
            <w:tcW w:w="22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Seaweed</w:t>
            </w:r>
          </w:p>
        </w:tc>
        <w:tc>
          <w:tcPr>
            <w:tcW w:w="240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No Seaweed</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Relevés</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R35IMN</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R34IMN</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DM yield(t) per ha</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0.0884</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0.8092</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bare ground</w:t>
            </w:r>
          </w:p>
        </w:tc>
        <w:tc>
          <w:tcPr>
            <w:tcW w:w="22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40</w:t>
            </w:r>
          </w:p>
        </w:tc>
        <w:tc>
          <w:tcPr>
            <w:tcW w:w="240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grass</w:t>
            </w:r>
          </w:p>
        </w:tc>
        <w:tc>
          <w:tcPr>
            <w:tcW w:w="22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15</w:t>
            </w:r>
          </w:p>
        </w:tc>
        <w:tc>
          <w:tcPr>
            <w:tcW w:w="240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30</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sedge</w:t>
            </w:r>
          </w:p>
        </w:tc>
        <w:tc>
          <w:tcPr>
            <w:tcW w:w="22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30</w:t>
            </w:r>
          </w:p>
        </w:tc>
        <w:tc>
          <w:tcPr>
            <w:tcW w:w="240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broadleaves</w:t>
            </w:r>
          </w:p>
        </w:tc>
        <w:tc>
          <w:tcPr>
            <w:tcW w:w="22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11</w:t>
            </w:r>
          </w:p>
        </w:tc>
        <w:tc>
          <w:tcPr>
            <w:tcW w:w="240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40</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 bryophytes</w:t>
            </w:r>
          </w:p>
        </w:tc>
        <w:tc>
          <w:tcPr>
            <w:tcW w:w="22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0</w:t>
            </w:r>
          </w:p>
        </w:tc>
        <w:tc>
          <w:tcPr>
            <w:tcW w:w="240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90</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Total species no.</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14</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bCs/>
                <w:color w:val="000000"/>
                <w:sz w:val="16"/>
                <w:szCs w:val="16"/>
                <w:lang w:val="en-GB" w:eastAsia="en-GB"/>
              </w:rPr>
            </w:pPr>
            <w:r w:rsidRPr="006A49F8">
              <w:rPr>
                <w:rFonts w:ascii="Calibri" w:eastAsia="Times New Roman" w:hAnsi="Calibri" w:cs="Times New Roman"/>
                <w:b/>
                <w:bCs/>
                <w:color w:val="000000"/>
                <w:sz w:val="16"/>
                <w:szCs w:val="16"/>
                <w:lang w:val="en-GB" w:eastAsia="en-GB"/>
              </w:rPr>
              <w:t>21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 </w:t>
            </w:r>
          </w:p>
        </w:tc>
        <w:tc>
          <w:tcPr>
            <w:tcW w:w="2260" w:type="dxa"/>
            <w:tcBorders>
              <w:top w:val="nil"/>
              <w:left w:val="nil"/>
              <w:bottom w:val="nil"/>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c>
          <w:tcPr>
            <w:tcW w:w="2400" w:type="dxa"/>
            <w:tcBorders>
              <w:top w:val="nil"/>
              <w:left w:val="nil"/>
              <w:bottom w:val="nil"/>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 </w:t>
            </w:r>
          </w:p>
        </w:tc>
        <w:tc>
          <w:tcPr>
            <w:tcW w:w="22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c>
          <w:tcPr>
            <w:tcW w:w="240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Hypochaeris radicata</w:t>
            </w:r>
          </w:p>
        </w:tc>
        <w:tc>
          <w:tcPr>
            <w:tcW w:w="22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24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Campanula rotundifolia</w:t>
            </w:r>
          </w:p>
        </w:tc>
        <w:tc>
          <w:tcPr>
            <w:tcW w:w="22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24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Sagina nodosa</w:t>
            </w:r>
          </w:p>
        </w:tc>
        <w:tc>
          <w:tcPr>
            <w:tcW w:w="22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24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Plantago  lanceolata</w:t>
            </w:r>
          </w:p>
        </w:tc>
        <w:tc>
          <w:tcPr>
            <w:tcW w:w="22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3</w:t>
            </w:r>
          </w:p>
        </w:tc>
        <w:tc>
          <w:tcPr>
            <w:tcW w:w="24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Festuca rubra</w:t>
            </w:r>
          </w:p>
        </w:tc>
        <w:tc>
          <w:tcPr>
            <w:tcW w:w="22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c>
          <w:tcPr>
            <w:tcW w:w="24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6</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Asperula cynanchica</w:t>
            </w:r>
          </w:p>
        </w:tc>
        <w:tc>
          <w:tcPr>
            <w:tcW w:w="22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24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6</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Luzula campestris</w:t>
            </w:r>
          </w:p>
        </w:tc>
        <w:tc>
          <w:tcPr>
            <w:tcW w:w="22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240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Ranunculus repens</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Centaurium erythraea</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Carex flacca</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6</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000000" w:fill="FFFFFF"/>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Agrostis stolonifera</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5</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Dactylis glomerata</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sz w:val="16"/>
                <w:szCs w:val="16"/>
                <w:lang w:val="en-GB" w:eastAsia="en-GB"/>
              </w:rPr>
            </w:pPr>
            <w:r w:rsidRPr="006A49F8">
              <w:rPr>
                <w:rFonts w:ascii="Calibri" w:eastAsia="Times New Roman" w:hAnsi="Calibri" w:cs="Times New Roman"/>
                <w:sz w:val="16"/>
                <w:szCs w:val="16"/>
                <w:lang w:val="en-GB" w:eastAsia="en-GB"/>
              </w:rPr>
              <w:t>Stellaria sp</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sz w:val="16"/>
                <w:szCs w:val="16"/>
                <w:lang w:val="en-GB" w:eastAsia="en-GB"/>
              </w:rPr>
            </w:pPr>
            <w:r w:rsidRPr="006A49F8">
              <w:rPr>
                <w:rFonts w:ascii="Calibri" w:eastAsia="Times New Roman" w:hAnsi="Calibri" w:cs="Times New Roman"/>
                <w:sz w:val="16"/>
                <w:szCs w:val="16"/>
                <w:lang w:val="en-GB" w:eastAsia="en-GB"/>
              </w:rPr>
              <w:t>1</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sz w:val="16"/>
                <w:szCs w:val="16"/>
                <w:lang w:val="en-GB" w:eastAsia="en-GB"/>
              </w:rPr>
            </w:pP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Anthylis vulneraria</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3</w:t>
            </w: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Ctenidium molluscum</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8</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Rhytidiadelphs squarrosus</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5</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Scleropodium purum</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Rhinanthus minor</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Leontodon  autumnalis</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Galium verum</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Lotus corniculatus</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Trifolium dubium</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Cerastium fontanum</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Blackstonia perfoliata</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1</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Pillosella officinarum</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color w:val="000000"/>
                <w:sz w:val="16"/>
                <w:szCs w:val="16"/>
                <w:lang w:val="en-GB" w:eastAsia="en-GB"/>
              </w:rPr>
            </w:pPr>
            <w:r w:rsidRPr="006A49F8">
              <w:rPr>
                <w:rFonts w:ascii="Calibri" w:eastAsia="Times New Roman" w:hAnsi="Calibri" w:cs="Times New Roman"/>
                <w:color w:val="000000"/>
                <w:sz w:val="16"/>
                <w:szCs w:val="16"/>
                <w:lang w:val="en-GB" w:eastAsia="en-GB"/>
              </w:rPr>
              <w:t>4</w:t>
            </w:r>
          </w:p>
        </w:tc>
      </w:tr>
      <w:tr w:rsidR="006A49F8" w:rsidRPr="006A49F8" w:rsidTr="001C25CC">
        <w:trPr>
          <w:trHeight w:val="2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Dicranum scoparium</w:t>
            </w:r>
          </w:p>
        </w:tc>
        <w:tc>
          <w:tcPr>
            <w:tcW w:w="22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p>
        </w:tc>
        <w:tc>
          <w:tcPr>
            <w:tcW w:w="240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jc w:val="center"/>
              <w:rPr>
                <w:rFonts w:ascii="Calibri" w:eastAsia="Times New Roman" w:hAnsi="Calibri" w:cs="Times New Roman"/>
                <w:b/>
                <w:color w:val="000000"/>
                <w:sz w:val="16"/>
                <w:szCs w:val="16"/>
                <w:lang w:val="en-GB" w:eastAsia="en-GB"/>
              </w:rPr>
            </w:pPr>
            <w:r w:rsidRPr="006A49F8">
              <w:rPr>
                <w:rFonts w:ascii="Calibri" w:eastAsia="Times New Roman" w:hAnsi="Calibri" w:cs="Times New Roman"/>
                <w:b/>
                <w:color w:val="000000"/>
                <w:sz w:val="16"/>
                <w:szCs w:val="16"/>
                <w:lang w:val="en-GB" w:eastAsia="en-GB"/>
              </w:rPr>
              <w:t>4</w:t>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br w:type="page"/>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Plot 11 SOD1</w:t>
      </w:r>
    </w:p>
    <w:p w:rsidR="006A49F8" w:rsidRPr="006A49F8" w:rsidRDefault="006A49F8" w:rsidP="006A49F8">
      <w:pPr>
        <w:spacing w:after="0" w:line="240" w:lineRule="auto"/>
        <w:jc w:val="center"/>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5B1C1C0E" wp14:editId="606D2E6F">
            <wp:extent cx="3751947" cy="2814168"/>
            <wp:effectExtent l="0" t="0" r="127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3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55070" cy="2816510"/>
                    </a:xfrm>
                    <a:prstGeom prst="rect">
                      <a:avLst/>
                    </a:prstGeom>
                  </pic:spPr>
                </pic:pic>
              </a:graphicData>
            </a:graphic>
          </wp:inline>
        </w:drawing>
      </w:r>
    </w:p>
    <w:tbl>
      <w:tblPr>
        <w:tblW w:w="0" w:type="auto"/>
        <w:tblLook w:val="04A0" w:firstRow="1" w:lastRow="0" w:firstColumn="1" w:lastColumn="0" w:noHBand="0" w:noVBand="1"/>
      </w:tblPr>
      <w:tblGrid>
        <w:gridCol w:w="4501"/>
        <w:gridCol w:w="4741"/>
      </w:tblGrid>
      <w:tr w:rsidR="006A49F8" w:rsidRPr="006A49F8" w:rsidTr="001C25CC">
        <w:tc>
          <w:tcPr>
            <w:tcW w:w="450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R14IMN 08/09/14 (before seaweed)</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3C83D834" wp14:editId="290A0EA5">
                  <wp:extent cx="2766048" cy="2074689"/>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8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71159" cy="2078523"/>
                          </a:xfrm>
                          <a:prstGeom prst="rect">
                            <a:avLst/>
                          </a:prstGeom>
                        </pic:spPr>
                      </pic:pic>
                    </a:graphicData>
                  </a:graphic>
                </wp:inline>
              </w:drawing>
            </w:r>
          </w:p>
        </w:tc>
        <w:tc>
          <w:tcPr>
            <w:tcW w:w="4741" w:type="dxa"/>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R59IMN 02/09/15 (after seaweed)</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0FE7FD23" wp14:editId="51E6EDFF">
                  <wp:extent cx="2919933" cy="2190111"/>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3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22363" cy="2191934"/>
                          </a:xfrm>
                          <a:prstGeom prst="rect">
                            <a:avLst/>
                          </a:prstGeom>
                        </pic:spPr>
                      </pic:pic>
                    </a:graphicData>
                  </a:graphic>
                </wp:inline>
              </w:drawing>
            </w:r>
          </w:p>
        </w:tc>
      </w:tr>
      <w:tr w:rsidR="006A49F8" w:rsidRPr="006A49F8" w:rsidTr="001C25CC">
        <w:tc>
          <w:tcPr>
            <w:tcW w:w="9242" w:type="dxa"/>
            <w:gridSpan w:val="2"/>
            <w:vAlign w:val="center"/>
          </w:tcPr>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R59IMN 20/08/15 (no seaweed)</w:t>
            </w:r>
          </w:p>
          <w:p w:rsidR="006A49F8" w:rsidRPr="006A49F8" w:rsidRDefault="006A49F8" w:rsidP="006A49F8">
            <w:pPr>
              <w:spacing w:after="0" w:line="240" w:lineRule="auto"/>
              <w:jc w:val="center"/>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noProof/>
                <w:sz w:val="24"/>
                <w:szCs w:val="24"/>
                <w:lang w:val="en-GB" w:eastAsia="en-GB"/>
              </w:rPr>
              <w:drawing>
                <wp:inline distT="0" distB="0" distL="0" distR="0" wp14:anchorId="76512251" wp14:editId="219E7709">
                  <wp:extent cx="3534656" cy="2651187"/>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6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41512" cy="2656330"/>
                          </a:xfrm>
                          <a:prstGeom prst="rect">
                            <a:avLst/>
                          </a:prstGeom>
                        </pic:spPr>
                      </pic:pic>
                    </a:graphicData>
                  </a:graphic>
                </wp:inline>
              </w:drawing>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lastRenderedPageBreak/>
        <w:t>Features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Plot area previously damaged by sand removal. R14IMN recorded before seaweed was applied. R54IMN was recorded in location of R14IMN after seaweed had been applied. R59IMN was taken in adjacent are of field where damage and sand removal had not taken place.</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i/>
          <w:sz w:val="24"/>
          <w:szCs w:val="24"/>
          <w:lang w:val="en-GB" w:eastAsia="en-GB"/>
        </w:rPr>
        <w:t>Rhinanthus minor</w:t>
      </w:r>
      <w:r w:rsidRPr="006A49F8">
        <w:rPr>
          <w:rFonts w:ascii="Times New Roman" w:eastAsia="Times New Roman" w:hAnsi="Times New Roman" w:cs="Times New Roman"/>
          <w:sz w:val="24"/>
          <w:szCs w:val="24"/>
          <w:lang w:val="en-GB" w:eastAsia="en-GB"/>
        </w:rPr>
        <w:t xml:space="preserve"> is absent from seaweed plot.</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Broadleaves and %Bryophytes has increased within the seaweed area with a corresponding decrease in bare earth.</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Before seaweed application R14IMN had four positive indicator species. After seaweed application this relevé supported five positive indicators species.</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Two negative indicator species, </w:t>
      </w:r>
      <w:r w:rsidRPr="006A49F8">
        <w:rPr>
          <w:rFonts w:ascii="Times New Roman" w:eastAsia="Times New Roman" w:hAnsi="Times New Roman" w:cs="Times New Roman"/>
          <w:i/>
          <w:sz w:val="24"/>
          <w:szCs w:val="24"/>
          <w:lang w:val="en-GB" w:eastAsia="en-GB"/>
        </w:rPr>
        <w:t>Senecio jacobaea</w:t>
      </w:r>
      <w:r w:rsidRPr="006A49F8">
        <w:rPr>
          <w:rFonts w:ascii="Times New Roman" w:eastAsia="Times New Roman" w:hAnsi="Times New Roman" w:cs="Times New Roman"/>
          <w:sz w:val="24"/>
          <w:szCs w:val="24"/>
          <w:lang w:val="en-GB" w:eastAsia="en-GB"/>
        </w:rPr>
        <w:t xml:space="preserve"> and </w:t>
      </w:r>
      <w:r w:rsidRPr="006A49F8">
        <w:rPr>
          <w:rFonts w:ascii="Times New Roman" w:eastAsia="Times New Roman" w:hAnsi="Times New Roman" w:cs="Times New Roman"/>
          <w:i/>
          <w:sz w:val="24"/>
          <w:szCs w:val="24"/>
          <w:lang w:val="en-GB" w:eastAsia="en-GB"/>
        </w:rPr>
        <w:t>Lolium perenne</w:t>
      </w:r>
      <w:r w:rsidRPr="006A49F8">
        <w:rPr>
          <w:rFonts w:ascii="Times New Roman" w:eastAsia="Times New Roman" w:hAnsi="Times New Roman" w:cs="Times New Roman"/>
          <w:sz w:val="24"/>
          <w:szCs w:val="24"/>
          <w:lang w:val="en-GB" w:eastAsia="en-GB"/>
        </w:rPr>
        <w:t xml:space="preserve"> occur in all three </w:t>
      </w:r>
      <w:proofErr w:type="gramStart"/>
      <w:r w:rsidRPr="006A49F8">
        <w:rPr>
          <w:rFonts w:ascii="Times New Roman" w:eastAsia="Times New Roman" w:hAnsi="Times New Roman" w:cs="Times New Roman"/>
          <w:sz w:val="24"/>
          <w:szCs w:val="24"/>
          <w:lang w:val="en-GB" w:eastAsia="en-GB"/>
        </w:rPr>
        <w:t>relevés,</w:t>
      </w:r>
      <w:proofErr w:type="gramEnd"/>
      <w:r w:rsidRPr="006A49F8">
        <w:rPr>
          <w:rFonts w:ascii="Times New Roman" w:eastAsia="Times New Roman" w:hAnsi="Times New Roman" w:cs="Times New Roman"/>
          <w:sz w:val="24"/>
          <w:szCs w:val="24"/>
          <w:lang w:val="en-GB" w:eastAsia="en-GB"/>
        </w:rPr>
        <w:t xml:space="preserve"> however their cover/abundance is greatest in the relevé before seaweed application.</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R59IMN located in the undisturbed area adjacent to seaweed plot supports the most positive indicator species (14).</w:t>
      </w: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tbl>
      <w:tblPr>
        <w:tblW w:w="6089" w:type="dxa"/>
        <w:tblInd w:w="1440" w:type="dxa"/>
        <w:tblLook w:val="04A0" w:firstRow="1" w:lastRow="0" w:firstColumn="1" w:lastColumn="0" w:noHBand="0" w:noVBand="1"/>
      </w:tblPr>
      <w:tblGrid>
        <w:gridCol w:w="3100"/>
        <w:gridCol w:w="1069"/>
        <w:gridCol w:w="960"/>
        <w:gridCol w:w="960"/>
      </w:tblGrid>
      <w:tr w:rsidR="006A49F8" w:rsidRPr="006A49F8" w:rsidTr="001C25CC">
        <w:trPr>
          <w:trHeight w:val="170"/>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Plot 11 SOD1</w:t>
            </w:r>
          </w:p>
        </w:tc>
        <w:tc>
          <w:tcPr>
            <w:tcW w:w="1069" w:type="dxa"/>
            <w:tcBorders>
              <w:top w:val="single" w:sz="4" w:space="0" w:color="auto"/>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Relevés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R14IMN*</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R54IMN</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R59IMN</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Total species no.</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17</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30</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Bare earth %</w:t>
            </w:r>
          </w:p>
        </w:tc>
        <w:tc>
          <w:tcPr>
            <w:tcW w:w="1069" w:type="dxa"/>
            <w:tcBorders>
              <w:top w:val="nil"/>
              <w:left w:val="nil"/>
              <w:bottom w:val="single" w:sz="4" w:space="0" w:color="auto"/>
              <w:right w:val="single" w:sz="4" w:space="0" w:color="auto"/>
            </w:tcBorders>
            <w:shd w:val="clear" w:color="000000" w:fill="FFC0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50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Grass %</w:t>
            </w:r>
          </w:p>
        </w:tc>
        <w:tc>
          <w:tcPr>
            <w:tcW w:w="1069" w:type="dxa"/>
            <w:tcBorders>
              <w:top w:val="nil"/>
              <w:left w:val="nil"/>
              <w:bottom w:val="single" w:sz="4" w:space="0" w:color="auto"/>
              <w:right w:val="single" w:sz="4" w:space="0" w:color="auto"/>
            </w:tcBorders>
            <w:shd w:val="clear" w:color="000000" w:fill="FFC0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30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20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60</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Sedge %</w:t>
            </w:r>
          </w:p>
        </w:tc>
        <w:tc>
          <w:tcPr>
            <w:tcW w:w="1069" w:type="dxa"/>
            <w:tcBorders>
              <w:top w:val="nil"/>
              <w:left w:val="nil"/>
              <w:bottom w:val="single" w:sz="4" w:space="0" w:color="auto"/>
              <w:right w:val="single" w:sz="4" w:space="0" w:color="auto"/>
            </w:tcBorders>
            <w:shd w:val="clear" w:color="000000" w:fill="FFC0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960" w:type="dxa"/>
            <w:tcBorders>
              <w:top w:val="nil"/>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0</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bCs/>
                <w:color w:val="000000"/>
                <w:sz w:val="18"/>
                <w:szCs w:val="18"/>
                <w:lang w:val="en-GB" w:eastAsia="en-GB"/>
              </w:rPr>
            </w:pPr>
            <w:r w:rsidRPr="006A49F8">
              <w:rPr>
                <w:rFonts w:ascii="Calibri" w:eastAsia="Times New Roman" w:hAnsi="Calibri" w:cs="Times New Roman"/>
                <w:b/>
                <w:bCs/>
                <w:color w:val="000000"/>
                <w:sz w:val="18"/>
                <w:szCs w:val="18"/>
                <w:lang w:val="en-GB" w:eastAsia="en-GB"/>
              </w:rPr>
              <w:t>10</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Broadleaves%</w:t>
            </w:r>
          </w:p>
        </w:tc>
        <w:tc>
          <w:tcPr>
            <w:tcW w:w="1069" w:type="dxa"/>
            <w:tcBorders>
              <w:top w:val="nil"/>
              <w:left w:val="nil"/>
              <w:bottom w:val="single" w:sz="4" w:space="0" w:color="auto"/>
              <w:right w:val="single" w:sz="4" w:space="0" w:color="auto"/>
            </w:tcBorders>
            <w:shd w:val="clear" w:color="000000" w:fill="FFC000"/>
            <w:noWrap/>
            <w:vAlign w:val="center"/>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single" w:sz="4" w:space="0" w:color="auto"/>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12</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40</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Bryophytes%</w:t>
            </w:r>
          </w:p>
        </w:tc>
        <w:tc>
          <w:tcPr>
            <w:tcW w:w="1069" w:type="dxa"/>
            <w:tcBorders>
              <w:top w:val="nil"/>
              <w:left w:val="nil"/>
              <w:bottom w:val="single" w:sz="4" w:space="0" w:color="auto"/>
              <w:right w:val="single" w:sz="4" w:space="0" w:color="auto"/>
            </w:tcBorders>
            <w:shd w:val="clear" w:color="000000" w:fill="FFC000"/>
            <w:noWrap/>
            <w:vAlign w:val="center"/>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c>
          <w:tcPr>
            <w:tcW w:w="960" w:type="dxa"/>
            <w:tcBorders>
              <w:top w:val="single" w:sz="4" w:space="0" w:color="auto"/>
              <w:left w:val="nil"/>
              <w:bottom w:val="single" w:sz="4" w:space="0" w:color="auto"/>
              <w:right w:val="single" w:sz="4" w:space="0" w:color="auto"/>
            </w:tcBorders>
            <w:shd w:val="clear" w:color="000000" w:fill="9BBB59"/>
            <w:noWrap/>
            <w:vAlign w:val="center"/>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60</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Rhinanthus minor</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Rumex acetosa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Scleropodium purum</w:t>
            </w:r>
          </w:p>
        </w:tc>
        <w:tc>
          <w:tcPr>
            <w:tcW w:w="1069" w:type="dxa"/>
            <w:tcBorders>
              <w:top w:val="nil"/>
              <w:left w:val="nil"/>
              <w:bottom w:val="single" w:sz="4" w:space="0" w:color="auto"/>
              <w:right w:val="single" w:sz="8"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single" w:sz="4" w:space="0" w:color="auto"/>
              <w:bottom w:val="single" w:sz="4" w:space="0" w:color="auto"/>
              <w:right w:val="nil"/>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single" w:sz="4" w:space="0" w:color="auto"/>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Plantago  lanceolata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Senecio jacobaea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1</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Trifolium repens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Lolium perenne</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5</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5</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u w:val="single"/>
                <w:lang w:val="en-GB" w:eastAsia="en-GB"/>
              </w:rPr>
            </w:pPr>
            <w:r w:rsidRPr="006A49F8">
              <w:rPr>
                <w:rFonts w:ascii="Calibri" w:eastAsia="Times New Roman" w:hAnsi="Calibri" w:cs="Times New Roman"/>
                <w:color w:val="000000"/>
                <w:sz w:val="18"/>
                <w:szCs w:val="18"/>
                <w:u w:val="single"/>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Festuca ovina/rubra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8</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Trifolium dubium</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Dactylis glomerata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Anagallis arvensis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Crepis capillaris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Taraxacum officinale</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Homalothecium lutescens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Pillosella officinarum</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Medicago sativa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Leontodon hispidus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xml:space="preserve">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Sanguisorba minor</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Asperula cynanchica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Atriplex prostrata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Hypochaeris radicata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Syntrichium ruralis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3</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Galium verum</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Lotus corniculatus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Luzula campestris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Veronica chamaedrys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Campanula rotundifolia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5</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Carex flacca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Blackstonia perfoliata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Daucus carota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3</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Calliergonella cuspidatum</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Poa pratensis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xml:space="preserve">Euphrasia officinalis agg. </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lastRenderedPageBreak/>
              <w:t>Leontodon  autumnalis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Rhytidiadelphs squarrosus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5</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xml:space="preserve">Viola sp. </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Ranunculus bulbosus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1</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Linum catharticum</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Rhytidiadelphus triquetrus</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Primula spp</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Poa annu</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Trifolium pratense</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color w:val="000000"/>
                <w:sz w:val="18"/>
                <w:szCs w:val="18"/>
                <w:lang w:val="en-GB" w:eastAsia="en-GB"/>
              </w:rPr>
            </w:pPr>
            <w:r w:rsidRPr="006A49F8">
              <w:rPr>
                <w:rFonts w:ascii="Calibri" w:eastAsia="Times New Roman" w:hAnsi="Calibri" w:cs="Times New Roman"/>
                <w:color w:val="000000"/>
                <w:sz w:val="18"/>
                <w:szCs w:val="18"/>
                <w:lang w:val="en-GB" w:eastAsia="en-GB"/>
              </w:rPr>
              <w:t>4</w:t>
            </w:r>
          </w:p>
        </w:tc>
      </w:tr>
      <w:tr w:rsidR="006A49F8" w:rsidRPr="006A49F8" w:rsidTr="001C25CC">
        <w:trPr>
          <w:trHeight w:val="17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Platanthera bifolia</w:t>
            </w:r>
          </w:p>
        </w:tc>
        <w:tc>
          <w:tcPr>
            <w:tcW w:w="1069" w:type="dxa"/>
            <w:tcBorders>
              <w:top w:val="nil"/>
              <w:left w:val="nil"/>
              <w:bottom w:val="single" w:sz="4" w:space="0" w:color="auto"/>
              <w:right w:val="single" w:sz="4" w:space="0" w:color="auto"/>
            </w:tcBorders>
            <w:shd w:val="clear" w:color="000000" w:fill="FFC0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9BBB59"/>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 </w:t>
            </w:r>
          </w:p>
        </w:tc>
        <w:tc>
          <w:tcPr>
            <w:tcW w:w="960" w:type="dxa"/>
            <w:tcBorders>
              <w:top w:val="nil"/>
              <w:left w:val="nil"/>
              <w:bottom w:val="single" w:sz="4" w:space="0" w:color="auto"/>
              <w:right w:val="single" w:sz="4" w:space="0" w:color="auto"/>
            </w:tcBorders>
            <w:shd w:val="clear" w:color="000000" w:fill="FFFF00"/>
            <w:noWrap/>
            <w:vAlign w:val="center"/>
            <w:hideMark/>
          </w:tcPr>
          <w:p w:rsidR="006A49F8" w:rsidRPr="006A49F8" w:rsidRDefault="006A49F8" w:rsidP="006A49F8">
            <w:pPr>
              <w:spacing w:after="0" w:line="240" w:lineRule="auto"/>
              <w:rPr>
                <w:rFonts w:ascii="Calibri" w:eastAsia="Times New Roman" w:hAnsi="Calibri" w:cs="Times New Roman"/>
                <w:b/>
                <w:color w:val="000000"/>
                <w:sz w:val="18"/>
                <w:szCs w:val="18"/>
                <w:lang w:val="en-GB" w:eastAsia="en-GB"/>
              </w:rPr>
            </w:pPr>
            <w:r w:rsidRPr="006A49F8">
              <w:rPr>
                <w:rFonts w:ascii="Calibri" w:eastAsia="Times New Roman" w:hAnsi="Calibri" w:cs="Times New Roman"/>
                <w:b/>
                <w:color w:val="000000"/>
                <w:sz w:val="18"/>
                <w:szCs w:val="18"/>
                <w:lang w:val="en-GB" w:eastAsia="en-GB"/>
              </w:rPr>
              <w:t>1</w:t>
            </w:r>
          </w:p>
        </w:tc>
      </w:tr>
    </w:tbl>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br w:type="page"/>
      </w:r>
    </w:p>
    <w:p w:rsidR="006A49F8" w:rsidRPr="006A49F8" w:rsidRDefault="00D036A9" w:rsidP="006A49F8">
      <w:pPr>
        <w:keepNext/>
        <w:keepLines/>
        <w:spacing w:before="480" w:after="0"/>
        <w:outlineLvl w:val="0"/>
        <w:rPr>
          <w:rFonts w:ascii="Cambria" w:eastAsia="Times New Roman" w:hAnsi="Cambria" w:cs="Times New Roman"/>
          <w:bCs/>
          <w:color w:val="365F91"/>
          <w:sz w:val="28"/>
          <w:szCs w:val="28"/>
          <w:lang w:val="en-GB"/>
        </w:rPr>
      </w:pPr>
      <w:bookmarkStart w:id="21" w:name="_Toc3284619"/>
      <w:proofErr w:type="gramStart"/>
      <w:r>
        <w:rPr>
          <w:rFonts w:ascii="Cambria" w:eastAsia="Times New Roman" w:hAnsi="Cambria" w:cs="Times New Roman"/>
          <w:bCs/>
          <w:color w:val="365F91"/>
          <w:sz w:val="28"/>
          <w:szCs w:val="28"/>
          <w:lang w:val="en-GB"/>
        </w:rPr>
        <w:lastRenderedPageBreak/>
        <w:t>Appendix 3</w:t>
      </w:r>
      <w:r w:rsidR="006A49F8" w:rsidRPr="006A49F8">
        <w:rPr>
          <w:rFonts w:ascii="Cambria" w:eastAsia="Times New Roman" w:hAnsi="Cambria" w:cs="Times New Roman"/>
          <w:bCs/>
          <w:color w:val="365F91"/>
          <w:sz w:val="28"/>
          <w:szCs w:val="28"/>
          <w:lang w:val="en-GB"/>
        </w:rPr>
        <w:t>.</w:t>
      </w:r>
      <w:proofErr w:type="gramEnd"/>
      <w:r w:rsidR="006A49F8" w:rsidRPr="006A49F8">
        <w:rPr>
          <w:rFonts w:ascii="Cambria" w:eastAsia="Times New Roman" w:hAnsi="Cambria" w:cs="Times New Roman"/>
          <w:bCs/>
          <w:color w:val="365F91"/>
          <w:sz w:val="28"/>
          <w:szCs w:val="28"/>
          <w:lang w:val="en-GB"/>
        </w:rPr>
        <w:t xml:space="preserve"> National Monitoring Methods for assessing *21A0 Machairs</w:t>
      </w:r>
      <w:bookmarkEnd w:id="21"/>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t xml:space="preserve">The following tables show the criteria used to assess the conservation status at a monitoring stop and site level (Delaney </w:t>
      </w:r>
      <w:r w:rsidRPr="006A49F8">
        <w:rPr>
          <w:rFonts w:ascii="Times New Roman" w:eastAsia="Times New Roman" w:hAnsi="Times New Roman" w:cs="Times New Roman"/>
          <w:i/>
          <w:sz w:val="24"/>
          <w:szCs w:val="24"/>
          <w:lang w:val="en-GB" w:eastAsia="en-GB"/>
        </w:rPr>
        <w:t>et al.</w:t>
      </w:r>
      <w:r w:rsidRPr="006A49F8">
        <w:rPr>
          <w:rFonts w:ascii="Times New Roman" w:eastAsia="Times New Roman" w:hAnsi="Times New Roman" w:cs="Times New Roman"/>
          <w:sz w:val="24"/>
          <w:szCs w:val="24"/>
          <w:lang w:val="en-GB" w:eastAsia="en-GB"/>
        </w:rPr>
        <w:t xml:space="preserve"> 2013) (Table 3). A monitoring stop or relevé must support greater than 6 positive indicator species, a low percentage cover of negative indicator species and more than 1% cover of bryophytes to pass and have favourable conservation status.</w:t>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roofErr w:type="gramStart"/>
      <w:r w:rsidRPr="006A49F8">
        <w:rPr>
          <w:rFonts w:ascii="Times New Roman" w:eastAsia="Times New Roman" w:hAnsi="Times New Roman" w:cs="Times New Roman"/>
          <w:b/>
          <w:sz w:val="24"/>
          <w:szCs w:val="24"/>
          <w:lang w:val="en-GB" w:eastAsia="en-GB"/>
        </w:rPr>
        <w:t>Table 3.</w:t>
      </w:r>
      <w:proofErr w:type="gramEnd"/>
      <w:r w:rsidRPr="006A49F8">
        <w:rPr>
          <w:rFonts w:ascii="Times New Roman" w:eastAsia="Times New Roman" w:hAnsi="Times New Roman" w:cs="Times New Roman"/>
          <w:b/>
          <w:sz w:val="24"/>
          <w:szCs w:val="24"/>
          <w:lang w:val="en-GB" w:eastAsia="en-GB"/>
        </w:rPr>
        <w:t xml:space="preserve"> Criteria to pass/fail monitoring stops in the assessment of conservation status</w:t>
      </w:r>
    </w:p>
    <w:tbl>
      <w:tblPr>
        <w:tblW w:w="0" w:type="auto"/>
        <w:tblLook w:val="04A0" w:firstRow="1" w:lastRow="0" w:firstColumn="1" w:lastColumn="0" w:noHBand="0" w:noVBand="1"/>
      </w:tblPr>
      <w:tblGrid>
        <w:gridCol w:w="9242"/>
      </w:tblGrid>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1a. Positive species indicators: At least six must be present  in more than 20% stops to pass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Agrostis stolonifera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Aira praecox</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Bellis perennis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Carex arenaria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Carex flacca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Carex nigra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Cerastium fontanum</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Crepis capillaris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Euphrasia officinalis agg.</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Festuca rubra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Galium verum</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Hydrocotyle vulgaris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Linum catharticum</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Lotus corniculatus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Orchid spp.</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Plantago lanceolata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Potentilla anserina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Prunella vulgaris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Rhinanthus minor</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Sedum acre</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Thymus polytrichus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Trifolium repens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Viola canina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Viola riviniana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Viola tricolor</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1b. Lowest number of positive indicator species in a monitoring stop: At least three species present in each stop</w:t>
            </w:r>
          </w:p>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2. Cover of bryophytes: Always over 1%</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 xml:space="preserve">3. Negative Indicator species: No species present in more than 40% of stops. </w:t>
            </w:r>
            <w:r w:rsidRPr="006A49F8">
              <w:rPr>
                <w:rFonts w:ascii="Times New Roman" w:eastAsia="Times New Roman" w:hAnsi="Times New Roman" w:cs="Times New Roman"/>
                <w:b/>
                <w:i/>
                <w:sz w:val="24"/>
                <w:szCs w:val="24"/>
                <w:lang w:val="en-GB" w:eastAsia="en-GB"/>
              </w:rPr>
              <w:t>L. perenne</w:t>
            </w:r>
            <w:r w:rsidRPr="006A49F8">
              <w:rPr>
                <w:rFonts w:ascii="Times New Roman" w:eastAsia="Times New Roman" w:hAnsi="Times New Roman" w:cs="Times New Roman"/>
                <w:b/>
                <w:sz w:val="24"/>
                <w:szCs w:val="24"/>
                <w:lang w:val="en-GB" w:eastAsia="en-GB"/>
              </w:rPr>
              <w:t xml:space="preserve"> </w:t>
            </w:r>
            <w:r w:rsidRPr="006A49F8">
              <w:rPr>
                <w:rFonts w:ascii="Times New Roman" w:eastAsia="Times New Roman" w:hAnsi="Times New Roman" w:cs="Times New Roman"/>
                <w:i/>
                <w:sz w:val="24"/>
                <w:szCs w:val="24"/>
                <w:lang w:val="en-GB" w:eastAsia="en-GB"/>
              </w:rPr>
              <w:t xml:space="preserve">and P. pratense </w:t>
            </w:r>
            <w:r w:rsidRPr="006A49F8">
              <w:rPr>
                <w:rFonts w:ascii="Times New Roman" w:eastAsia="Times New Roman" w:hAnsi="Times New Roman" w:cs="Times New Roman"/>
                <w:b/>
                <w:sz w:val="24"/>
                <w:szCs w:val="24"/>
                <w:lang w:val="en-GB" w:eastAsia="en-GB"/>
              </w:rPr>
              <w:t>not present in more than 20% of the stops. Combined cover of negative indicators 5% or less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Arrenatherum elatius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Cirsium arvense</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Cirsium vulgare</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Senecio jacobaea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i/>
                <w:sz w:val="24"/>
                <w:szCs w:val="24"/>
                <w:lang w:val="en-GB" w:eastAsia="en-GB"/>
              </w:rPr>
            </w:pPr>
            <w:r w:rsidRPr="006A49F8">
              <w:rPr>
                <w:rFonts w:ascii="Times New Roman" w:eastAsia="Times New Roman" w:hAnsi="Times New Roman" w:cs="Times New Roman"/>
                <w:i/>
                <w:sz w:val="24"/>
                <w:szCs w:val="24"/>
                <w:lang w:val="en-GB" w:eastAsia="en-GB"/>
              </w:rPr>
              <w:t>Urtica dioica</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i/>
                <w:sz w:val="24"/>
                <w:szCs w:val="24"/>
                <w:lang w:val="en-GB" w:eastAsia="en-GB"/>
              </w:rPr>
            </w:pPr>
            <w:r w:rsidRPr="006A49F8">
              <w:rPr>
                <w:rFonts w:ascii="Times New Roman" w:eastAsia="Times New Roman" w:hAnsi="Times New Roman" w:cs="Times New Roman"/>
                <w:b/>
                <w:i/>
                <w:sz w:val="24"/>
                <w:szCs w:val="24"/>
                <w:lang w:val="en-GB" w:eastAsia="en-GB"/>
              </w:rPr>
              <w:t>Lolium perenne</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i/>
                <w:sz w:val="24"/>
                <w:szCs w:val="24"/>
                <w:lang w:val="en-GB" w:eastAsia="en-GB"/>
              </w:rPr>
            </w:pPr>
            <w:r w:rsidRPr="006A49F8">
              <w:rPr>
                <w:rFonts w:ascii="Times New Roman" w:eastAsia="Times New Roman" w:hAnsi="Times New Roman" w:cs="Times New Roman"/>
                <w:b/>
                <w:i/>
                <w:sz w:val="24"/>
                <w:szCs w:val="24"/>
                <w:lang w:val="en-GB" w:eastAsia="en-GB"/>
              </w:rPr>
              <w:t>Phleum pratense</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i/>
                <w:sz w:val="24"/>
                <w:szCs w:val="24"/>
                <w:lang w:val="en-GB" w:eastAsia="en-GB"/>
              </w:rPr>
            </w:pPr>
            <w:r w:rsidRPr="006A49F8">
              <w:rPr>
                <w:rFonts w:ascii="Times New Roman" w:eastAsia="Times New Roman" w:hAnsi="Times New Roman" w:cs="Times New Roman"/>
                <w:b/>
                <w:i/>
                <w:sz w:val="24"/>
                <w:szCs w:val="24"/>
                <w:lang w:val="en-GB" w:eastAsia="en-GB"/>
              </w:rPr>
              <w:t>Pteridium aquilinum</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4. Non-Native species: no species present in more than 20% of the stops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5. Flowering and fruiting of positive indicator species: present in more than 40% of stops</w:t>
            </w: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tc>
      </w:tr>
      <w:tr w:rsidR="006A49F8" w:rsidRPr="006A49F8" w:rsidTr="001C25CC">
        <w:tc>
          <w:tcPr>
            <w:tcW w:w="9242" w:type="dxa"/>
          </w:tcPr>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r w:rsidRPr="006A49F8">
              <w:rPr>
                <w:rFonts w:ascii="Times New Roman" w:eastAsia="Times New Roman" w:hAnsi="Times New Roman" w:cs="Times New Roman"/>
                <w:b/>
                <w:sz w:val="24"/>
                <w:szCs w:val="24"/>
                <w:lang w:val="en-GB" w:eastAsia="en-GB"/>
              </w:rPr>
              <w:t>6. Sward Height: mean height &lt;20cm</w:t>
            </w:r>
          </w:p>
        </w:tc>
      </w:tr>
    </w:tbl>
    <w:p w:rsidR="006A49F8" w:rsidRPr="006A49F8" w:rsidRDefault="006A49F8" w:rsidP="006A49F8">
      <w:pPr>
        <w:spacing w:after="0" w:line="240" w:lineRule="auto"/>
        <w:rPr>
          <w:rFonts w:ascii="Times New Roman" w:eastAsia="Times New Roman" w:hAnsi="Times New Roman" w:cs="Times New Roman"/>
          <w:b/>
          <w:sz w:val="24"/>
          <w:szCs w:val="24"/>
          <w:lang w:val="en-GB" w:eastAsia="en-GB"/>
        </w:rPr>
      </w:pPr>
    </w:p>
    <w:p w:rsidR="006A49F8" w:rsidRPr="006A49F8" w:rsidRDefault="006A49F8" w:rsidP="006A49F8">
      <w:pPr>
        <w:spacing w:after="0" w:line="240" w:lineRule="auto"/>
        <w:rPr>
          <w:rFonts w:ascii="Times New Roman" w:eastAsia="Times New Roman" w:hAnsi="Times New Roman" w:cs="Times New Roman"/>
          <w:sz w:val="24"/>
          <w:szCs w:val="24"/>
          <w:lang w:val="en-GB" w:eastAsia="en-GB"/>
        </w:rPr>
      </w:pPr>
      <w:r w:rsidRPr="006A49F8">
        <w:rPr>
          <w:rFonts w:ascii="Times New Roman" w:eastAsia="Times New Roman" w:hAnsi="Times New Roman" w:cs="Times New Roman"/>
          <w:sz w:val="24"/>
          <w:szCs w:val="24"/>
          <w:lang w:val="en-GB" w:eastAsia="en-GB"/>
        </w:rPr>
        <w:br w:type="page"/>
      </w: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133FD8" w:rsidRPr="00133FD8" w:rsidRDefault="00133FD8" w:rsidP="00133FD8">
      <w:pPr>
        <w:spacing w:after="0" w:line="240" w:lineRule="auto"/>
        <w:rPr>
          <w:rFonts w:ascii="Times New Roman" w:eastAsia="Times New Roman" w:hAnsi="Times New Roman" w:cs="Times New Roman"/>
          <w:sz w:val="24"/>
          <w:szCs w:val="24"/>
          <w:lang w:val="en-GB" w:eastAsia="en-GB"/>
        </w:rPr>
      </w:pPr>
    </w:p>
    <w:p w:rsidR="00D036A9" w:rsidRDefault="00D036A9" w:rsidP="00D036A9">
      <w:pPr>
        <w:pStyle w:val="Heading1"/>
        <w:rPr>
          <w:b w:val="0"/>
        </w:rPr>
      </w:pPr>
      <w:bookmarkStart w:id="22" w:name="_Toc441615926"/>
      <w:bookmarkStart w:id="23" w:name="_Toc3284620"/>
      <w:proofErr w:type="gramStart"/>
      <w:r>
        <w:rPr>
          <w:b w:val="0"/>
        </w:rPr>
        <w:t>Appendix 4.</w:t>
      </w:r>
      <w:proofErr w:type="gramEnd"/>
      <w:r>
        <w:rPr>
          <w:b w:val="0"/>
        </w:rPr>
        <w:t xml:space="preserve"> </w:t>
      </w:r>
      <w:r w:rsidRPr="002726CB">
        <w:rPr>
          <w:b w:val="0"/>
          <w:i/>
        </w:rPr>
        <w:t>Vertigo angustior</w:t>
      </w:r>
      <w:r>
        <w:rPr>
          <w:b w:val="0"/>
        </w:rPr>
        <w:t xml:space="preserve"> survey of seaweed trial plot sites</w:t>
      </w:r>
      <w:bookmarkEnd w:id="22"/>
      <w:bookmarkEnd w:id="23"/>
    </w:p>
    <w:p w:rsidR="00D036A9" w:rsidRDefault="00D036A9" w:rsidP="00D036A9">
      <w:pPr>
        <w:rPr>
          <w:sz w:val="28"/>
        </w:rPr>
      </w:pPr>
    </w:p>
    <w:p w:rsidR="00D036A9" w:rsidRDefault="00D036A9" w:rsidP="00D036A9">
      <w:pPr>
        <w:rPr>
          <w:sz w:val="28"/>
        </w:rPr>
      </w:pPr>
    </w:p>
    <w:p w:rsidR="00D036A9" w:rsidRDefault="00D036A9" w:rsidP="00D036A9">
      <w:pPr>
        <w:rPr>
          <w:sz w:val="28"/>
        </w:rPr>
      </w:pPr>
    </w:p>
    <w:p w:rsidR="00D036A9" w:rsidRDefault="00D036A9" w:rsidP="00D036A9">
      <w:pPr>
        <w:rPr>
          <w:sz w:val="28"/>
        </w:rPr>
      </w:pPr>
    </w:p>
    <w:p w:rsidR="00D036A9" w:rsidRDefault="00D036A9" w:rsidP="00D036A9">
      <w:pPr>
        <w:rPr>
          <w:lang w:val="en-US"/>
        </w:rPr>
      </w:pPr>
    </w:p>
    <w:p w:rsidR="00D036A9" w:rsidRPr="006901C2" w:rsidRDefault="00D036A9" w:rsidP="00D036A9">
      <w:pPr>
        <w:rPr>
          <w:lang w:val="en-US"/>
        </w:rPr>
      </w:pPr>
    </w:p>
    <w:p w:rsidR="00D036A9" w:rsidRDefault="00D036A9" w:rsidP="00D036A9">
      <w:pPr>
        <w:rPr>
          <w:sz w:val="28"/>
        </w:rPr>
      </w:pPr>
    </w:p>
    <w:p w:rsidR="00D036A9" w:rsidRDefault="00D036A9" w:rsidP="00D036A9">
      <w:pPr>
        <w:rPr>
          <w:sz w:val="28"/>
        </w:rPr>
      </w:pPr>
    </w:p>
    <w:p w:rsidR="00D036A9" w:rsidRDefault="00D036A9" w:rsidP="00D036A9">
      <w:pPr>
        <w:rPr>
          <w:sz w:val="28"/>
        </w:rPr>
      </w:pPr>
      <w:bookmarkStart w:id="24" w:name="_Toc441614517"/>
      <w:bookmarkStart w:id="25" w:name="_Toc441614892"/>
      <w:bookmarkStart w:id="26" w:name="_Toc441615008"/>
      <w:bookmarkStart w:id="27" w:name="_Toc441615927"/>
      <w:r>
        <w:rPr>
          <w:sz w:val="28"/>
        </w:rPr>
        <w:t xml:space="preserve">FIRST MONITORING SURVEY FOR </w:t>
      </w:r>
      <w:r w:rsidRPr="00C97F8C">
        <w:rPr>
          <w:i/>
          <w:sz w:val="28"/>
        </w:rPr>
        <w:t xml:space="preserve">VERTIGO </w:t>
      </w:r>
      <w:r>
        <w:rPr>
          <w:i/>
          <w:sz w:val="28"/>
        </w:rPr>
        <w:t>ANGUSTIOR</w:t>
      </w:r>
      <w:r>
        <w:rPr>
          <w:sz w:val="28"/>
        </w:rPr>
        <w:t xml:space="preserve"> AND OTHER MOLLUSCS AT SITES CHOSEN FOR SEAWEED APPLICATION TRIALS, ARANLIFE PROJECT – 2015 SURVEY</w:t>
      </w:r>
      <w:bookmarkEnd w:id="24"/>
      <w:bookmarkEnd w:id="25"/>
      <w:bookmarkEnd w:id="26"/>
      <w:bookmarkEnd w:id="27"/>
      <w:r>
        <w:rPr>
          <w:sz w:val="28"/>
        </w:rPr>
        <w:t xml:space="preserve"> </w:t>
      </w:r>
    </w:p>
    <w:p w:rsidR="00D036A9" w:rsidRDefault="00D036A9" w:rsidP="00D036A9">
      <w:pPr>
        <w:rPr>
          <w:b/>
          <w:sz w:val="24"/>
        </w:rPr>
      </w:pPr>
    </w:p>
    <w:p w:rsidR="00D036A9" w:rsidRDefault="00D036A9" w:rsidP="00D036A9">
      <w:pPr>
        <w:rPr>
          <w:b/>
          <w:sz w:val="24"/>
        </w:rPr>
      </w:pPr>
      <w:r>
        <w:rPr>
          <w:b/>
          <w:sz w:val="24"/>
        </w:rPr>
        <w:t xml:space="preserve"> </w:t>
      </w:r>
    </w:p>
    <w:p w:rsidR="00D036A9" w:rsidRDefault="00D036A9" w:rsidP="00D036A9">
      <w:pPr>
        <w:rPr>
          <w:b/>
          <w:sz w:val="24"/>
        </w:rPr>
      </w:pPr>
      <w:r>
        <w:rPr>
          <w:b/>
          <w:sz w:val="24"/>
        </w:rPr>
        <w:t>January 2016</w:t>
      </w:r>
    </w:p>
    <w:p w:rsidR="00D036A9" w:rsidRDefault="00D036A9" w:rsidP="00D036A9">
      <w:pPr>
        <w:rPr>
          <w:b/>
          <w:sz w:val="24"/>
        </w:rPr>
      </w:pPr>
    </w:p>
    <w:p w:rsidR="00D036A9" w:rsidRDefault="00D036A9" w:rsidP="00D036A9">
      <w:pPr>
        <w:rPr>
          <w:b/>
          <w:sz w:val="24"/>
        </w:rPr>
      </w:pPr>
    </w:p>
    <w:p w:rsidR="00D036A9" w:rsidRDefault="00D036A9" w:rsidP="00D036A9">
      <w:bookmarkStart w:id="28" w:name="_Toc441614518"/>
      <w:bookmarkStart w:id="29" w:name="_Toc441614893"/>
      <w:bookmarkStart w:id="30" w:name="_Toc441615009"/>
      <w:bookmarkStart w:id="31" w:name="_Toc441615928"/>
      <w:r>
        <w:t>Neil Browne</w:t>
      </w:r>
      <w:bookmarkEnd w:id="28"/>
      <w:bookmarkEnd w:id="29"/>
      <w:bookmarkEnd w:id="30"/>
      <w:bookmarkEnd w:id="31"/>
    </w:p>
    <w:p w:rsidR="00D036A9" w:rsidRDefault="00D036A9" w:rsidP="00D036A9">
      <w:pPr>
        <w:rPr>
          <w:b/>
          <w:sz w:val="24"/>
        </w:rPr>
      </w:pPr>
    </w:p>
    <w:p w:rsidR="00D036A9" w:rsidRDefault="00D036A9" w:rsidP="00D036A9">
      <w:pPr>
        <w:rPr>
          <w:b/>
          <w:sz w:val="24"/>
        </w:rPr>
      </w:pPr>
    </w:p>
    <w:p w:rsidR="00D036A9" w:rsidRDefault="00D036A9" w:rsidP="00D036A9">
      <w:pPr>
        <w:rPr>
          <w:b/>
          <w:sz w:val="24"/>
        </w:rPr>
      </w:pPr>
    </w:p>
    <w:p w:rsidR="00D036A9" w:rsidRDefault="00D036A9" w:rsidP="00D036A9">
      <w:pPr>
        <w:rPr>
          <w:b/>
          <w:sz w:val="24"/>
          <w:u w:val="single"/>
        </w:rPr>
      </w:pPr>
      <w:r>
        <w:rPr>
          <w:b/>
          <w:sz w:val="24"/>
          <w:u w:val="single"/>
        </w:rPr>
        <w:t>Contact Address:</w:t>
      </w:r>
      <w:r>
        <w:rPr>
          <w:b/>
          <w:sz w:val="24"/>
        </w:rPr>
        <w:tab/>
      </w:r>
      <w:r>
        <w:rPr>
          <w:b/>
          <w:sz w:val="24"/>
        </w:rPr>
        <w:tab/>
      </w:r>
      <w:r>
        <w:rPr>
          <w:b/>
          <w:sz w:val="24"/>
        </w:rPr>
        <w:tab/>
      </w:r>
      <w:r>
        <w:rPr>
          <w:b/>
          <w:sz w:val="24"/>
        </w:rPr>
        <w:tab/>
      </w:r>
      <w:r>
        <w:rPr>
          <w:b/>
          <w:sz w:val="24"/>
        </w:rPr>
        <w:tab/>
      </w:r>
      <w:r>
        <w:rPr>
          <w:b/>
          <w:sz w:val="24"/>
        </w:rPr>
        <w:tab/>
      </w:r>
      <w:r>
        <w:rPr>
          <w:b/>
          <w:sz w:val="24"/>
        </w:rPr>
        <w:tab/>
      </w:r>
    </w:p>
    <w:p w:rsidR="00D036A9" w:rsidRDefault="00D036A9" w:rsidP="00D036A9">
      <w:pPr>
        <w:rPr>
          <w:sz w:val="24"/>
        </w:rPr>
      </w:pPr>
      <w:r>
        <w:rPr>
          <w:sz w:val="24"/>
        </w:rPr>
        <w:t xml:space="preserve">9 Cois </w:t>
      </w:r>
      <w:proofErr w:type="gramStart"/>
      <w:r>
        <w:rPr>
          <w:sz w:val="24"/>
        </w:rPr>
        <w:t>na</w:t>
      </w:r>
      <w:proofErr w:type="gramEnd"/>
      <w:r>
        <w:rPr>
          <w:sz w:val="24"/>
        </w:rPr>
        <w:t xml:space="preserve"> ce</w:t>
      </w:r>
    </w:p>
    <w:p w:rsidR="00D036A9" w:rsidRDefault="00D036A9" w:rsidP="00D036A9">
      <w:pPr>
        <w:rPr>
          <w:sz w:val="24"/>
        </w:rPr>
      </w:pPr>
      <w:r>
        <w:rPr>
          <w:sz w:val="24"/>
        </w:rPr>
        <w:t>Cappa,</w:t>
      </w:r>
    </w:p>
    <w:p w:rsidR="00D036A9" w:rsidRDefault="00D036A9" w:rsidP="00D036A9">
      <w:pPr>
        <w:rPr>
          <w:sz w:val="24"/>
        </w:rPr>
      </w:pPr>
      <w:r>
        <w:rPr>
          <w:sz w:val="24"/>
        </w:rPr>
        <w:lastRenderedPageBreak/>
        <w:t>Kilrush,</w:t>
      </w:r>
    </w:p>
    <w:p w:rsidR="00D036A9" w:rsidRDefault="00D036A9" w:rsidP="00D036A9">
      <w:pPr>
        <w:rPr>
          <w:sz w:val="24"/>
        </w:rPr>
      </w:pPr>
      <w:proofErr w:type="gramStart"/>
      <w:r>
        <w:rPr>
          <w:sz w:val="24"/>
        </w:rPr>
        <w:t>Co.Clare.</w:t>
      </w:r>
      <w:proofErr w:type="gramEnd"/>
    </w:p>
    <w:p w:rsidR="00D036A9" w:rsidRDefault="00D036A9" w:rsidP="00D036A9">
      <w:pPr>
        <w:rPr>
          <w:sz w:val="24"/>
        </w:rPr>
      </w:pPr>
      <w:r>
        <w:rPr>
          <w:sz w:val="24"/>
        </w:rPr>
        <w:t xml:space="preserve"> </w:t>
      </w:r>
    </w:p>
    <w:p w:rsidR="00D036A9" w:rsidRDefault="00D036A9" w:rsidP="00D036A9">
      <w:pPr>
        <w:rPr>
          <w:sz w:val="24"/>
        </w:rPr>
      </w:pPr>
      <w:r>
        <w:rPr>
          <w:sz w:val="24"/>
        </w:rPr>
        <w:tab/>
      </w:r>
      <w:r>
        <w:rPr>
          <w:sz w:val="24"/>
        </w:rPr>
        <w:tab/>
      </w:r>
      <w:r>
        <w:rPr>
          <w:sz w:val="24"/>
        </w:rPr>
        <w:tab/>
      </w:r>
      <w:r>
        <w:rPr>
          <w:sz w:val="24"/>
        </w:rPr>
        <w:tab/>
      </w:r>
      <w:r>
        <w:rPr>
          <w:sz w:val="24"/>
        </w:rPr>
        <w:tab/>
        <w:t xml:space="preserve"> </w:t>
      </w:r>
    </w:p>
    <w:p w:rsidR="00D036A9" w:rsidRPr="00BB40B1" w:rsidRDefault="00D036A9" w:rsidP="00D036A9">
      <w:pPr>
        <w:rPr>
          <w:sz w:val="24"/>
        </w:rPr>
      </w:pPr>
      <w:r w:rsidRPr="00BB40B1">
        <w:rPr>
          <w:sz w:val="24"/>
        </w:rPr>
        <w:t>Tel:   087 8106200</w:t>
      </w:r>
    </w:p>
    <w:p w:rsidR="00D036A9" w:rsidRPr="00BB40B1" w:rsidRDefault="00D036A9" w:rsidP="00D036A9">
      <w:pPr>
        <w:rPr>
          <w:sz w:val="24"/>
        </w:rPr>
      </w:pPr>
    </w:p>
    <w:p w:rsidR="00D036A9" w:rsidRPr="00BB40B1" w:rsidRDefault="00D036A9" w:rsidP="00D036A9">
      <w:pPr>
        <w:rPr>
          <w:sz w:val="24"/>
        </w:rPr>
      </w:pPr>
      <w:proofErr w:type="gramStart"/>
      <w:r w:rsidRPr="00BB40B1">
        <w:rPr>
          <w:sz w:val="24"/>
        </w:rPr>
        <w:t>e-mail</w:t>
      </w:r>
      <w:proofErr w:type="gramEnd"/>
      <w:r w:rsidRPr="00BB40B1">
        <w:rPr>
          <w:sz w:val="24"/>
        </w:rPr>
        <w:t>:   browneneil@hotmail.com</w:t>
      </w:r>
    </w:p>
    <w:p w:rsidR="00D036A9" w:rsidRPr="00BB40B1" w:rsidRDefault="00D036A9" w:rsidP="00D036A9">
      <w:pPr>
        <w:rPr>
          <w:b/>
          <w:sz w:val="24"/>
        </w:rPr>
      </w:pPr>
      <w:r w:rsidRPr="00BB40B1">
        <w:rPr>
          <w:b/>
          <w:sz w:val="24"/>
        </w:rPr>
        <w:t xml:space="preserve"> </w:t>
      </w:r>
    </w:p>
    <w:p w:rsidR="00D036A9" w:rsidRPr="00BB40B1" w:rsidRDefault="00D036A9" w:rsidP="00D036A9">
      <w:pPr>
        <w:rPr>
          <w:b/>
          <w:sz w:val="24"/>
        </w:rPr>
      </w:pPr>
      <w:r w:rsidRPr="00BB40B1">
        <w:rPr>
          <w:b/>
          <w:sz w:val="24"/>
        </w:rPr>
        <w:t xml:space="preserve"> </w:t>
      </w:r>
    </w:p>
    <w:p w:rsidR="00D036A9" w:rsidRPr="00BB40B1" w:rsidRDefault="00D036A9" w:rsidP="00D036A9">
      <w:pPr>
        <w:rPr>
          <w:b/>
          <w:sz w:val="24"/>
        </w:rPr>
      </w:pPr>
      <w:r w:rsidRPr="00BB40B1">
        <w:rPr>
          <w:b/>
          <w:sz w:val="24"/>
        </w:rPr>
        <w:br w:type="page"/>
      </w:r>
    </w:p>
    <w:p w:rsidR="00D036A9" w:rsidRDefault="00D036A9" w:rsidP="00D036A9">
      <w:pPr>
        <w:rPr>
          <w:b/>
          <w:szCs w:val="24"/>
        </w:rPr>
      </w:pPr>
      <w:bookmarkStart w:id="32" w:name="_Toc441614519"/>
      <w:bookmarkStart w:id="33" w:name="_Toc441614894"/>
      <w:bookmarkStart w:id="34" w:name="_Toc441615010"/>
      <w:bookmarkStart w:id="35" w:name="_Toc441615929"/>
      <w:r w:rsidRPr="00CA23AC">
        <w:rPr>
          <w:szCs w:val="24"/>
        </w:rPr>
        <w:lastRenderedPageBreak/>
        <w:t xml:space="preserve">Citation: Browne, N. (2016) First </w:t>
      </w:r>
      <w:r>
        <w:rPr>
          <w:szCs w:val="24"/>
        </w:rPr>
        <w:t>m</w:t>
      </w:r>
      <w:r w:rsidRPr="00CA23AC">
        <w:rPr>
          <w:szCs w:val="24"/>
        </w:rPr>
        <w:t xml:space="preserve">onitoring </w:t>
      </w:r>
      <w:r>
        <w:rPr>
          <w:szCs w:val="24"/>
        </w:rPr>
        <w:t>s</w:t>
      </w:r>
      <w:r w:rsidRPr="00CA23AC">
        <w:rPr>
          <w:szCs w:val="24"/>
        </w:rPr>
        <w:t xml:space="preserve">urvey </w:t>
      </w:r>
      <w:r>
        <w:rPr>
          <w:szCs w:val="24"/>
        </w:rPr>
        <w:t>f</w:t>
      </w:r>
      <w:r w:rsidRPr="00CA23AC">
        <w:rPr>
          <w:szCs w:val="24"/>
        </w:rPr>
        <w:t xml:space="preserve">or </w:t>
      </w:r>
      <w:r w:rsidRPr="00CA23AC">
        <w:rPr>
          <w:i/>
          <w:szCs w:val="24"/>
        </w:rPr>
        <w:t xml:space="preserve">Vertigo </w:t>
      </w:r>
      <w:r>
        <w:rPr>
          <w:i/>
          <w:szCs w:val="24"/>
        </w:rPr>
        <w:t>a</w:t>
      </w:r>
      <w:r w:rsidRPr="00CA23AC">
        <w:rPr>
          <w:i/>
          <w:szCs w:val="24"/>
        </w:rPr>
        <w:t>ngustior</w:t>
      </w:r>
      <w:r w:rsidRPr="00CA23AC">
        <w:rPr>
          <w:szCs w:val="24"/>
        </w:rPr>
        <w:t xml:space="preserve"> and other molluscs at sites chosen f</w:t>
      </w:r>
      <w:r>
        <w:rPr>
          <w:szCs w:val="24"/>
        </w:rPr>
        <w:t>or seaweed application trials, AranLIFE</w:t>
      </w:r>
      <w:r w:rsidRPr="00CA23AC">
        <w:rPr>
          <w:szCs w:val="24"/>
        </w:rPr>
        <w:t xml:space="preserve"> project – 2015 survey</w:t>
      </w:r>
      <w:r>
        <w:rPr>
          <w:szCs w:val="24"/>
        </w:rPr>
        <w:t>.</w:t>
      </w:r>
      <w:bookmarkEnd w:id="32"/>
      <w:bookmarkEnd w:id="33"/>
      <w:bookmarkEnd w:id="34"/>
      <w:bookmarkEnd w:id="35"/>
    </w:p>
    <w:p w:rsidR="00D036A9" w:rsidRDefault="00D036A9" w:rsidP="00D036A9">
      <w:pPr>
        <w:rPr>
          <w:b/>
          <w:szCs w:val="24"/>
        </w:rPr>
      </w:pPr>
    </w:p>
    <w:p w:rsidR="00D036A9" w:rsidRDefault="00D036A9" w:rsidP="00D036A9">
      <w:pPr>
        <w:rPr>
          <w:b/>
          <w:szCs w:val="24"/>
        </w:rPr>
      </w:pPr>
      <w:bookmarkStart w:id="36" w:name="_Toc441614520"/>
      <w:bookmarkStart w:id="37" w:name="_Toc441614895"/>
      <w:bookmarkStart w:id="38" w:name="_Toc441615011"/>
      <w:bookmarkStart w:id="39" w:name="_Toc441615930"/>
      <w:r>
        <w:rPr>
          <w:szCs w:val="24"/>
        </w:rPr>
        <w:t xml:space="preserve">Author: </w:t>
      </w:r>
      <w:r>
        <w:rPr>
          <w:szCs w:val="24"/>
        </w:rPr>
        <w:tab/>
        <w:t>Neil Browne</w:t>
      </w:r>
      <w:bookmarkEnd w:id="36"/>
      <w:bookmarkEnd w:id="37"/>
      <w:bookmarkEnd w:id="38"/>
      <w:bookmarkEnd w:id="39"/>
    </w:p>
    <w:p w:rsidR="00D036A9" w:rsidRPr="00CA23AC" w:rsidRDefault="00D036A9" w:rsidP="00D036A9">
      <w:pPr>
        <w:rPr>
          <w:b/>
          <w:szCs w:val="24"/>
        </w:rPr>
      </w:pPr>
      <w:bookmarkStart w:id="40" w:name="_Toc441614521"/>
      <w:bookmarkStart w:id="41" w:name="_Toc441614896"/>
      <w:bookmarkStart w:id="42" w:name="_Toc441615012"/>
      <w:bookmarkStart w:id="43" w:name="_Toc441615931"/>
      <w:r>
        <w:rPr>
          <w:szCs w:val="24"/>
        </w:rPr>
        <w:t xml:space="preserve">Reviewed by: </w:t>
      </w:r>
      <w:r w:rsidRPr="00CA23AC">
        <w:rPr>
          <w:szCs w:val="24"/>
        </w:rPr>
        <w:t xml:space="preserve"> </w:t>
      </w:r>
      <w:r>
        <w:rPr>
          <w:szCs w:val="24"/>
        </w:rPr>
        <w:t>Dr Evelyn Moorkens</w:t>
      </w:r>
      <w:bookmarkEnd w:id="40"/>
      <w:bookmarkEnd w:id="41"/>
      <w:bookmarkEnd w:id="42"/>
      <w:bookmarkEnd w:id="43"/>
    </w:p>
    <w:p w:rsidR="00D036A9" w:rsidRDefault="00D036A9" w:rsidP="00D036A9">
      <w:pPr>
        <w:rPr>
          <w:b/>
          <w:sz w:val="24"/>
        </w:rPr>
      </w:pPr>
    </w:p>
    <w:p w:rsidR="00D036A9" w:rsidRDefault="00D036A9" w:rsidP="00D036A9">
      <w:pPr>
        <w:rPr>
          <w:sz w:val="24"/>
        </w:rPr>
      </w:pPr>
      <w:r>
        <w:rPr>
          <w:sz w:val="24"/>
        </w:rPr>
        <w:br w:type="page"/>
      </w:r>
    </w:p>
    <w:p w:rsidR="00D036A9" w:rsidRPr="00CA23AC" w:rsidRDefault="00D036A9" w:rsidP="00D036A9">
      <w:pPr>
        <w:rPr>
          <w:b/>
          <w:sz w:val="28"/>
        </w:rPr>
      </w:pPr>
    </w:p>
    <w:p w:rsidR="00D036A9" w:rsidRDefault="00D036A9" w:rsidP="00D036A9">
      <w:pPr>
        <w:rPr>
          <w:b/>
          <w:sz w:val="28"/>
        </w:rPr>
      </w:pPr>
      <w:r>
        <w:rPr>
          <w:b/>
          <w:sz w:val="28"/>
        </w:rPr>
        <w:t>1.0 Introduction</w:t>
      </w:r>
    </w:p>
    <w:p w:rsidR="00D036A9" w:rsidRDefault="00D036A9" w:rsidP="00D036A9">
      <w:pPr>
        <w:rPr>
          <w:rFonts w:cstheme="minorHAnsi"/>
          <w:color w:val="000000"/>
          <w:szCs w:val="24"/>
        </w:rPr>
      </w:pPr>
      <w:r w:rsidRPr="00110CA6">
        <w:rPr>
          <w:rFonts w:cstheme="minorHAnsi"/>
          <w:szCs w:val="24"/>
        </w:rPr>
        <w:t>The</w:t>
      </w:r>
      <w:r>
        <w:rPr>
          <w:rFonts w:cstheme="minorHAnsi"/>
          <w:szCs w:val="24"/>
        </w:rPr>
        <w:t xml:space="preserve"> </w:t>
      </w:r>
      <w:r w:rsidRPr="00110CA6">
        <w:rPr>
          <w:rFonts w:cstheme="minorHAnsi"/>
          <w:szCs w:val="24"/>
        </w:rPr>
        <w:t xml:space="preserve">Annex II snail species </w:t>
      </w:r>
      <w:r w:rsidRPr="00110CA6">
        <w:rPr>
          <w:rFonts w:cstheme="minorHAnsi"/>
          <w:i/>
          <w:szCs w:val="24"/>
        </w:rPr>
        <w:t>Vertigo angustior</w:t>
      </w:r>
      <w:r w:rsidRPr="00110CA6">
        <w:rPr>
          <w:rFonts w:cstheme="minorHAnsi"/>
          <w:szCs w:val="24"/>
        </w:rPr>
        <w:t xml:space="preserve"> is a qualifying interest species of </w:t>
      </w:r>
      <w:r w:rsidRPr="00110CA6">
        <w:rPr>
          <w:rFonts w:cstheme="minorHAnsi"/>
          <w:color w:val="000000"/>
          <w:szCs w:val="24"/>
        </w:rPr>
        <w:t xml:space="preserve">Inis Mór SAC (Moorkens &amp; Killeen, 2011). It lives in the decaying grass understorey in machair habitat and is sensitive to drying out, requiring appropriate habitat for a successful long term population (Moorkens &amp; Gaynor, 2003). </w:t>
      </w:r>
    </w:p>
    <w:p w:rsidR="00D036A9" w:rsidRPr="00110CA6" w:rsidRDefault="00D036A9" w:rsidP="00D036A9">
      <w:pPr>
        <w:rPr>
          <w:rFonts w:cstheme="minorHAnsi"/>
          <w:color w:val="000000"/>
          <w:szCs w:val="24"/>
        </w:rPr>
      </w:pPr>
    </w:p>
    <w:p w:rsidR="00D036A9" w:rsidRPr="002726CB" w:rsidRDefault="00D036A9" w:rsidP="00D036A9">
      <w:pPr>
        <w:rPr>
          <w:rFonts w:cstheme="minorHAnsi"/>
          <w:color w:val="000000"/>
        </w:rPr>
      </w:pPr>
      <w:r w:rsidRPr="002726CB">
        <w:rPr>
          <w:rFonts w:cstheme="minorHAnsi"/>
          <w:color w:val="000000"/>
        </w:rPr>
        <w:t xml:space="preserve">Machair is a qualifying Interest of both Inis Mór and Inis Méain SACs. The condition of some areas of machair is degraded, and the AranLIFE project has proposed to bring 29 hectares of machair habitat into favourable conservation status. </w:t>
      </w:r>
    </w:p>
    <w:p w:rsidR="00D036A9" w:rsidRDefault="00D036A9" w:rsidP="00D036A9">
      <w:pPr>
        <w:pStyle w:val="BodyText2"/>
        <w:contextualSpacing/>
        <w:rPr>
          <w:rFonts w:cstheme="minorHAnsi"/>
          <w:color w:val="000000"/>
          <w:szCs w:val="24"/>
        </w:rPr>
      </w:pPr>
    </w:p>
    <w:p w:rsidR="00D036A9" w:rsidRDefault="00D036A9" w:rsidP="00D036A9">
      <w:pPr>
        <w:pStyle w:val="BodyText2"/>
        <w:contextualSpacing/>
        <w:rPr>
          <w:rFonts w:cstheme="minorHAnsi"/>
          <w:color w:val="000000"/>
          <w:szCs w:val="24"/>
        </w:rPr>
      </w:pPr>
      <w:r w:rsidRPr="00110CA6">
        <w:rPr>
          <w:rFonts w:cstheme="minorHAnsi"/>
          <w:color w:val="000000"/>
          <w:szCs w:val="24"/>
        </w:rPr>
        <w:t xml:space="preserve">The improvement of machair habitat conditions should improve the density and spread of </w:t>
      </w:r>
      <w:r>
        <w:rPr>
          <w:rFonts w:cstheme="minorHAnsi"/>
          <w:color w:val="000000"/>
          <w:szCs w:val="24"/>
        </w:rPr>
        <w:t xml:space="preserve">molluscan species, including </w:t>
      </w:r>
      <w:r w:rsidRPr="00110CA6">
        <w:rPr>
          <w:rFonts w:cstheme="minorHAnsi"/>
          <w:i/>
          <w:color w:val="000000"/>
          <w:szCs w:val="24"/>
        </w:rPr>
        <w:t>Vertigo angustior</w:t>
      </w:r>
      <w:r>
        <w:rPr>
          <w:rFonts w:cstheme="minorHAnsi"/>
          <w:color w:val="000000"/>
          <w:szCs w:val="24"/>
        </w:rPr>
        <w:t>.</w:t>
      </w:r>
    </w:p>
    <w:p w:rsidR="00D036A9" w:rsidRPr="00FA03BD" w:rsidRDefault="00D036A9" w:rsidP="00D036A9">
      <w:pPr>
        <w:pStyle w:val="BodyText2"/>
        <w:contextualSpacing/>
        <w:rPr>
          <w:rFonts w:cstheme="minorHAnsi"/>
          <w:color w:val="000000"/>
          <w:szCs w:val="24"/>
        </w:rPr>
      </w:pPr>
    </w:p>
    <w:p w:rsidR="00D036A9" w:rsidRPr="002726CB" w:rsidRDefault="00D036A9" w:rsidP="00D036A9">
      <w:pPr>
        <w:autoSpaceDE w:val="0"/>
        <w:autoSpaceDN w:val="0"/>
        <w:adjustRightInd w:val="0"/>
        <w:spacing w:after="0"/>
        <w:contextualSpacing/>
        <w:jc w:val="both"/>
        <w:rPr>
          <w:rFonts w:cstheme="minorHAnsi"/>
          <w:color w:val="000000"/>
        </w:rPr>
      </w:pPr>
      <w:r w:rsidRPr="002726CB">
        <w:rPr>
          <w:rFonts w:cstheme="minorHAnsi"/>
          <w:color w:val="000000"/>
        </w:rPr>
        <w:t xml:space="preserve">The AranLIFE project proposes to trial the application of seaweed to machair sites to address issues such as over-dominance of bryophytes and reduction in species-diversity. </w:t>
      </w:r>
      <w:r w:rsidRPr="002726CB">
        <w:t>Seaweed will be applied to plots in the traditional way, by hand ensuring even coverage throughout the plot.</w:t>
      </w:r>
    </w:p>
    <w:p w:rsidR="00D036A9" w:rsidRPr="00FA03BD" w:rsidRDefault="00D036A9" w:rsidP="00D036A9">
      <w:pPr>
        <w:pStyle w:val="BodyText2"/>
        <w:contextualSpacing/>
        <w:rPr>
          <w:rFonts w:cstheme="minorHAnsi"/>
          <w:color w:val="000000"/>
          <w:szCs w:val="24"/>
        </w:rPr>
      </w:pPr>
    </w:p>
    <w:p w:rsidR="00D036A9" w:rsidRPr="00FA03BD" w:rsidRDefault="00D036A9" w:rsidP="00D036A9">
      <w:pPr>
        <w:pStyle w:val="BodyText2"/>
        <w:contextualSpacing/>
        <w:rPr>
          <w:rFonts w:cstheme="minorHAnsi"/>
          <w:color w:val="000000"/>
          <w:szCs w:val="24"/>
        </w:rPr>
      </w:pPr>
      <w:r w:rsidRPr="00FA03BD">
        <w:rPr>
          <w:rFonts w:cstheme="minorHAnsi"/>
          <w:color w:val="000000"/>
          <w:szCs w:val="24"/>
        </w:rPr>
        <w:t xml:space="preserve">It is important to understand how the application of seaweed would positively or negatively affect </w:t>
      </w:r>
      <w:r w:rsidRPr="00FA03BD">
        <w:rPr>
          <w:rFonts w:cstheme="minorHAnsi"/>
          <w:i/>
          <w:color w:val="000000"/>
          <w:szCs w:val="24"/>
        </w:rPr>
        <w:t>V. angustior</w:t>
      </w:r>
      <w:r w:rsidRPr="00FA03BD">
        <w:rPr>
          <w:rFonts w:cstheme="minorHAnsi"/>
          <w:color w:val="000000"/>
          <w:szCs w:val="24"/>
        </w:rPr>
        <w:t xml:space="preserve">. This species was never recorded on Inis Meáin, but is known from some machair habitat on </w:t>
      </w:r>
      <w:r w:rsidRPr="00FA03BD">
        <w:rPr>
          <w:rFonts w:cstheme="minorHAnsi"/>
          <w:color w:val="000000"/>
        </w:rPr>
        <w:t xml:space="preserve">Inis Mór, where it is a qualifying interest of the SAC. There are areas of good </w:t>
      </w:r>
      <w:r w:rsidRPr="00FA03BD">
        <w:rPr>
          <w:rFonts w:cstheme="minorHAnsi"/>
          <w:i/>
          <w:color w:val="000000"/>
        </w:rPr>
        <w:t>V. angustior</w:t>
      </w:r>
      <w:r w:rsidRPr="00FA03BD">
        <w:rPr>
          <w:rFonts w:cstheme="minorHAnsi"/>
          <w:color w:val="000000"/>
        </w:rPr>
        <w:t xml:space="preserve"> habitat at Eararna, close to the airport, and at </w:t>
      </w:r>
      <w:r w:rsidRPr="00FA03BD">
        <w:rPr>
          <w:rFonts w:cstheme="minorHAnsi"/>
        </w:rPr>
        <w:t>Kilmurvey (Moorkens &amp; Killeen, 2011).</w:t>
      </w:r>
    </w:p>
    <w:p w:rsidR="00D036A9" w:rsidRPr="00110CA6" w:rsidRDefault="00D036A9" w:rsidP="00D036A9">
      <w:pPr>
        <w:pStyle w:val="BodyText2"/>
        <w:contextualSpacing/>
        <w:rPr>
          <w:rFonts w:cstheme="minorHAnsi"/>
          <w:szCs w:val="24"/>
        </w:rPr>
      </w:pPr>
      <w:r>
        <w:rPr>
          <w:rFonts w:cstheme="minorHAnsi"/>
          <w:color w:val="000000"/>
          <w:szCs w:val="24"/>
        </w:rPr>
        <w:t xml:space="preserve"> </w:t>
      </w:r>
    </w:p>
    <w:p w:rsidR="00D036A9" w:rsidRPr="00110CA6" w:rsidRDefault="00D036A9" w:rsidP="00D036A9">
      <w:pPr>
        <w:pStyle w:val="BodyText2"/>
        <w:contextualSpacing/>
        <w:rPr>
          <w:rFonts w:cstheme="minorHAnsi"/>
          <w:szCs w:val="24"/>
        </w:rPr>
      </w:pPr>
      <w:r w:rsidRPr="00110CA6">
        <w:rPr>
          <w:rFonts w:cstheme="minorHAnsi"/>
          <w:color w:val="000000"/>
          <w:szCs w:val="24"/>
        </w:rPr>
        <w:t xml:space="preserve">The objective of the study is to assess the changes to the molluscan fauna before and after the affects of the seaweed application. The methods are designed to assess the distribution of </w:t>
      </w:r>
      <w:r w:rsidRPr="00110CA6">
        <w:rPr>
          <w:rFonts w:cstheme="minorHAnsi"/>
          <w:i/>
          <w:color w:val="000000"/>
          <w:szCs w:val="24"/>
        </w:rPr>
        <w:t>V. angustior</w:t>
      </w:r>
      <w:r w:rsidRPr="00110CA6">
        <w:rPr>
          <w:rFonts w:cstheme="minorHAnsi"/>
          <w:color w:val="000000"/>
          <w:szCs w:val="24"/>
        </w:rPr>
        <w:t xml:space="preserve"> (via hand sampling along walking transects) and changes to the molluscan composition and abundance, through semi-quantitative sampling comparisons between equivalent seaweed applied and control quadrats at each application site. </w:t>
      </w:r>
    </w:p>
    <w:p w:rsidR="00D036A9" w:rsidRDefault="00D036A9" w:rsidP="00D036A9">
      <w:pPr>
        <w:pStyle w:val="BodyText2"/>
      </w:pPr>
    </w:p>
    <w:p w:rsidR="00D036A9" w:rsidRDefault="00D036A9" w:rsidP="00D036A9">
      <w:pPr>
        <w:pStyle w:val="BodyText2"/>
      </w:pPr>
      <w:r>
        <w:t xml:space="preserve">One round of molluscan sampling was undertaken in September 2015, just after seaweed application but before any effects would be evident, and repeat sampling is proposed at the end of the trial to assess change in both the trial sites and the control sites where seaweed will not be applied. </w:t>
      </w:r>
    </w:p>
    <w:p w:rsidR="00D036A9" w:rsidRPr="00E662F7" w:rsidRDefault="00D036A9" w:rsidP="00D036A9">
      <w:pPr>
        <w:pStyle w:val="BodyText2"/>
        <w:spacing w:line="360" w:lineRule="auto"/>
      </w:pPr>
    </w:p>
    <w:p w:rsidR="00D036A9" w:rsidRDefault="00D036A9" w:rsidP="00D036A9">
      <w:pPr>
        <w:jc w:val="both"/>
        <w:rPr>
          <w:rFonts w:cs="TimesNewRoman"/>
          <w:sz w:val="24"/>
          <w:szCs w:val="24"/>
          <w:lang w:val="en-US" w:eastAsia="en-IE"/>
        </w:rPr>
      </w:pPr>
      <w:r>
        <w:rPr>
          <w:rFonts w:cs="TimesNewRoman"/>
          <w:sz w:val="24"/>
          <w:szCs w:val="24"/>
          <w:lang w:val="en-US" w:eastAsia="en-IE"/>
        </w:rPr>
        <w:t xml:space="preserve"> </w:t>
      </w:r>
    </w:p>
    <w:p w:rsidR="00D036A9" w:rsidRDefault="00D036A9" w:rsidP="00D036A9">
      <w:pPr>
        <w:jc w:val="both"/>
        <w:rPr>
          <w:rFonts w:cs="TimesNewRoman"/>
          <w:sz w:val="24"/>
          <w:szCs w:val="24"/>
          <w:lang w:val="en-US" w:eastAsia="en-IE"/>
        </w:rPr>
      </w:pPr>
    </w:p>
    <w:p w:rsidR="00D036A9" w:rsidRDefault="00D036A9" w:rsidP="00D036A9">
      <w:pPr>
        <w:rPr>
          <w:b/>
          <w:sz w:val="28"/>
        </w:rPr>
      </w:pPr>
      <w:r>
        <w:rPr>
          <w:b/>
          <w:sz w:val="28"/>
        </w:rPr>
        <w:lastRenderedPageBreak/>
        <w:br w:type="page"/>
      </w:r>
    </w:p>
    <w:p w:rsidR="00D036A9" w:rsidRDefault="00D036A9" w:rsidP="00D036A9">
      <w:pPr>
        <w:jc w:val="both"/>
        <w:rPr>
          <w:b/>
          <w:sz w:val="28"/>
        </w:rPr>
      </w:pPr>
    </w:p>
    <w:p w:rsidR="00D036A9" w:rsidRDefault="00D036A9" w:rsidP="00D036A9">
      <w:pPr>
        <w:jc w:val="both"/>
        <w:rPr>
          <w:b/>
          <w:sz w:val="28"/>
        </w:rPr>
      </w:pPr>
      <w:r w:rsidRPr="00442C5E">
        <w:rPr>
          <w:b/>
          <w:sz w:val="28"/>
        </w:rPr>
        <w:t>2.0 Methodology</w:t>
      </w:r>
    </w:p>
    <w:p w:rsidR="00D036A9" w:rsidRPr="00FA03BD" w:rsidRDefault="00D036A9" w:rsidP="00D036A9">
      <w:pPr>
        <w:pStyle w:val="BodyText2"/>
        <w:contextualSpacing/>
        <w:rPr>
          <w:rFonts w:cstheme="minorHAnsi"/>
          <w:b/>
          <w:szCs w:val="24"/>
        </w:rPr>
      </w:pPr>
      <w:r>
        <w:rPr>
          <w:rFonts w:cstheme="minorHAnsi"/>
          <w:b/>
          <w:szCs w:val="24"/>
        </w:rPr>
        <w:t xml:space="preserve">2.1 </w:t>
      </w:r>
      <w:r w:rsidRPr="00FA03BD">
        <w:rPr>
          <w:rFonts w:cstheme="minorHAnsi"/>
          <w:b/>
          <w:szCs w:val="24"/>
        </w:rPr>
        <w:t>The seaweed study</w:t>
      </w:r>
    </w:p>
    <w:p w:rsidR="00D036A9" w:rsidRPr="00FA03BD" w:rsidRDefault="00D036A9" w:rsidP="00D036A9">
      <w:pPr>
        <w:pStyle w:val="BodyText2"/>
        <w:contextualSpacing/>
        <w:rPr>
          <w:rFonts w:cstheme="minorHAnsi"/>
          <w:szCs w:val="24"/>
        </w:rPr>
      </w:pPr>
    </w:p>
    <w:p w:rsidR="00D036A9" w:rsidRPr="00FA03BD" w:rsidRDefault="00D036A9" w:rsidP="00D036A9">
      <w:pPr>
        <w:pStyle w:val="BodyText2"/>
        <w:contextualSpacing/>
        <w:rPr>
          <w:rFonts w:cstheme="minorHAnsi"/>
          <w:szCs w:val="24"/>
        </w:rPr>
      </w:pPr>
      <w:r>
        <w:rPr>
          <w:rFonts w:cstheme="minorHAnsi"/>
          <w:szCs w:val="24"/>
        </w:rPr>
        <w:t xml:space="preserve">The molluscan studies are based on the areas chosen by AranLIFE as their seaweed experimental plots. </w:t>
      </w:r>
      <w:r w:rsidRPr="00FA03BD">
        <w:rPr>
          <w:rFonts w:cstheme="minorHAnsi"/>
          <w:szCs w:val="24"/>
        </w:rPr>
        <w:t xml:space="preserve">Each seaweed plot </w:t>
      </w:r>
      <w:r>
        <w:rPr>
          <w:rFonts w:cstheme="minorHAnsi"/>
          <w:szCs w:val="24"/>
        </w:rPr>
        <w:t>measures</w:t>
      </w:r>
      <w:r w:rsidRPr="00FA03BD">
        <w:rPr>
          <w:rFonts w:cstheme="minorHAnsi"/>
          <w:szCs w:val="24"/>
        </w:rPr>
        <w:t xml:space="preserve"> 20mx10m. Participating farmers </w:t>
      </w:r>
      <w:r>
        <w:rPr>
          <w:rFonts w:cstheme="minorHAnsi"/>
          <w:szCs w:val="24"/>
        </w:rPr>
        <w:t xml:space="preserve">have </w:t>
      </w:r>
      <w:r w:rsidRPr="00FA03BD">
        <w:rPr>
          <w:rFonts w:cstheme="minorHAnsi"/>
          <w:szCs w:val="24"/>
        </w:rPr>
        <w:t xml:space="preserve">spread seaweed evenly by hand on the selected plots. </w:t>
      </w:r>
      <w:r>
        <w:rPr>
          <w:rFonts w:cstheme="minorHAnsi"/>
          <w:szCs w:val="24"/>
        </w:rPr>
        <w:t>This is a traditional application rate that relates to approximately one layer of seaweed frond deep.</w:t>
      </w:r>
    </w:p>
    <w:p w:rsidR="00D036A9" w:rsidRPr="00FA03BD" w:rsidRDefault="00D036A9" w:rsidP="00D036A9">
      <w:pPr>
        <w:pStyle w:val="BodyText2"/>
        <w:contextualSpacing/>
        <w:rPr>
          <w:rFonts w:cstheme="minorHAnsi"/>
          <w:szCs w:val="24"/>
        </w:rPr>
      </w:pPr>
    </w:p>
    <w:p w:rsidR="00D036A9" w:rsidRPr="00FA03BD" w:rsidRDefault="00D036A9" w:rsidP="00D036A9">
      <w:pPr>
        <w:pStyle w:val="BodyText2"/>
        <w:contextualSpacing/>
        <w:rPr>
          <w:rFonts w:cstheme="minorHAnsi"/>
          <w:szCs w:val="24"/>
        </w:rPr>
      </w:pPr>
      <w:r w:rsidRPr="00FA03BD">
        <w:rPr>
          <w:rFonts w:cstheme="minorHAnsi"/>
          <w:szCs w:val="24"/>
        </w:rPr>
        <w:t>Permanent monitoring quadrats (4m</w:t>
      </w:r>
      <w:r w:rsidRPr="00FA03BD">
        <w:rPr>
          <w:rFonts w:cstheme="minorHAnsi"/>
          <w:szCs w:val="24"/>
          <w:vertAlign w:val="superscript"/>
        </w:rPr>
        <w:t>2</w:t>
      </w:r>
      <w:r w:rsidRPr="00FA03BD">
        <w:rPr>
          <w:rFonts w:cstheme="minorHAnsi"/>
          <w:szCs w:val="24"/>
        </w:rPr>
        <w:t xml:space="preserve">) </w:t>
      </w:r>
      <w:r>
        <w:rPr>
          <w:rFonts w:cstheme="minorHAnsi"/>
          <w:szCs w:val="24"/>
        </w:rPr>
        <w:t>have</w:t>
      </w:r>
      <w:r w:rsidRPr="00FA03BD">
        <w:rPr>
          <w:rFonts w:cstheme="minorHAnsi"/>
          <w:szCs w:val="24"/>
        </w:rPr>
        <w:t xml:space="preserve"> be</w:t>
      </w:r>
      <w:r>
        <w:rPr>
          <w:rFonts w:cstheme="minorHAnsi"/>
          <w:szCs w:val="24"/>
        </w:rPr>
        <w:t>en</w:t>
      </w:r>
      <w:r w:rsidRPr="00FA03BD">
        <w:rPr>
          <w:rFonts w:cstheme="minorHAnsi"/>
          <w:szCs w:val="24"/>
        </w:rPr>
        <w:t xml:space="preserve"> set up within the 20mx10m plots by the AranLIFE team. These quadrats will be surveyed for their floristic composition prior to seaweed application and monitored annually over the duration of the project and any changes in vegetation noted.</w:t>
      </w:r>
    </w:p>
    <w:p w:rsidR="00D036A9" w:rsidRPr="00FA03BD" w:rsidRDefault="00D036A9" w:rsidP="00D036A9">
      <w:pPr>
        <w:pStyle w:val="BodyText2"/>
        <w:contextualSpacing/>
        <w:rPr>
          <w:rFonts w:cstheme="minorHAnsi"/>
          <w:b/>
          <w:szCs w:val="24"/>
        </w:rPr>
      </w:pPr>
    </w:p>
    <w:p w:rsidR="00D036A9" w:rsidRDefault="00D036A9" w:rsidP="00D036A9">
      <w:pPr>
        <w:pStyle w:val="BodyText2"/>
        <w:contextualSpacing/>
        <w:rPr>
          <w:rFonts w:cstheme="minorHAnsi"/>
          <w:szCs w:val="24"/>
        </w:rPr>
      </w:pPr>
      <w:r w:rsidRPr="00FA03BD">
        <w:rPr>
          <w:rFonts w:cstheme="minorHAnsi"/>
          <w:szCs w:val="24"/>
        </w:rPr>
        <w:t>It is anticipated that seaweed will be applied within the plots annually until 2017.</w:t>
      </w:r>
    </w:p>
    <w:p w:rsidR="00D036A9" w:rsidRDefault="00D036A9" w:rsidP="00D036A9">
      <w:pPr>
        <w:pStyle w:val="BodyText2"/>
        <w:contextualSpacing/>
        <w:rPr>
          <w:rFonts w:cstheme="minorHAnsi"/>
          <w:szCs w:val="24"/>
        </w:rPr>
      </w:pPr>
    </w:p>
    <w:p w:rsidR="00D036A9" w:rsidRDefault="00D036A9" w:rsidP="00D036A9">
      <w:pPr>
        <w:pStyle w:val="BodyText2"/>
        <w:contextualSpacing/>
        <w:rPr>
          <w:rFonts w:cstheme="minorHAnsi"/>
          <w:b/>
          <w:szCs w:val="24"/>
        </w:rPr>
      </w:pPr>
    </w:p>
    <w:p w:rsidR="00D036A9" w:rsidRDefault="00D036A9" w:rsidP="00D036A9">
      <w:pPr>
        <w:pStyle w:val="BodyText2"/>
        <w:contextualSpacing/>
        <w:rPr>
          <w:rFonts w:cstheme="minorHAnsi"/>
          <w:b/>
          <w:szCs w:val="24"/>
        </w:rPr>
      </w:pPr>
      <w:r>
        <w:rPr>
          <w:rFonts w:cstheme="minorHAnsi"/>
          <w:b/>
          <w:szCs w:val="24"/>
        </w:rPr>
        <w:t xml:space="preserve">2.2 </w:t>
      </w:r>
      <w:r w:rsidRPr="00FA03BD">
        <w:rPr>
          <w:rFonts w:cstheme="minorHAnsi"/>
          <w:b/>
          <w:szCs w:val="24"/>
        </w:rPr>
        <w:t>The mollusc study</w:t>
      </w:r>
    </w:p>
    <w:p w:rsidR="00D036A9" w:rsidRDefault="00D036A9" w:rsidP="00D036A9">
      <w:pPr>
        <w:pStyle w:val="BodyText2"/>
        <w:contextualSpacing/>
        <w:rPr>
          <w:rFonts w:cstheme="minorHAnsi"/>
          <w:b/>
          <w:szCs w:val="24"/>
        </w:rPr>
      </w:pPr>
    </w:p>
    <w:p w:rsidR="00D036A9" w:rsidRDefault="00D036A9" w:rsidP="00D036A9">
      <w:pPr>
        <w:pStyle w:val="BodyText2"/>
        <w:contextualSpacing/>
        <w:rPr>
          <w:rFonts w:cstheme="minorHAnsi"/>
          <w:szCs w:val="24"/>
        </w:rPr>
      </w:pPr>
      <w:r>
        <w:rPr>
          <w:rFonts w:cstheme="minorHAnsi"/>
          <w:szCs w:val="24"/>
        </w:rPr>
        <w:t>Two studies were undertaken. The first was a distribution study to assess the general differences in mollusc distribution across each plot, and to ensure that the quantitative quadrats assessed were representative of the plot. The second study was the quantitative study to assess change over time in both species number (biodiversity) and number of individuals (biomass) and relate to the vegetation monitoring quadrats.</w:t>
      </w:r>
    </w:p>
    <w:p w:rsidR="00D036A9" w:rsidRPr="0052615D" w:rsidRDefault="00D036A9" w:rsidP="00D036A9">
      <w:pPr>
        <w:pStyle w:val="BodyText2"/>
        <w:contextualSpacing/>
        <w:rPr>
          <w:rFonts w:cstheme="minorHAnsi"/>
          <w:szCs w:val="24"/>
        </w:rPr>
      </w:pPr>
    </w:p>
    <w:p w:rsidR="00D036A9" w:rsidRPr="00FA03BD" w:rsidRDefault="00D036A9" w:rsidP="00D036A9">
      <w:pPr>
        <w:pStyle w:val="BodyText2"/>
        <w:contextualSpacing/>
        <w:rPr>
          <w:rFonts w:cstheme="minorHAnsi"/>
          <w:b/>
          <w:szCs w:val="24"/>
        </w:rPr>
      </w:pPr>
    </w:p>
    <w:p w:rsidR="00D036A9" w:rsidRPr="00FA03BD" w:rsidRDefault="00D036A9" w:rsidP="00D036A9">
      <w:pPr>
        <w:pStyle w:val="BodyText2"/>
        <w:numPr>
          <w:ilvl w:val="0"/>
          <w:numId w:val="2"/>
        </w:numPr>
        <w:autoSpaceDE w:val="0"/>
        <w:autoSpaceDN w:val="0"/>
        <w:adjustRightInd w:val="0"/>
        <w:contextualSpacing/>
        <w:rPr>
          <w:rFonts w:cstheme="minorHAnsi"/>
          <w:b/>
          <w:szCs w:val="24"/>
        </w:rPr>
      </w:pPr>
      <w:r w:rsidRPr="00FA03BD">
        <w:rPr>
          <w:rFonts w:cstheme="minorHAnsi"/>
          <w:b/>
          <w:color w:val="000000"/>
          <w:szCs w:val="24"/>
        </w:rPr>
        <w:t>Walking transects – Distribution study</w:t>
      </w:r>
    </w:p>
    <w:p w:rsidR="00D036A9" w:rsidRPr="002726CB" w:rsidRDefault="00D036A9" w:rsidP="00D036A9">
      <w:pPr>
        <w:jc w:val="both"/>
        <w:rPr>
          <w:rFonts w:cstheme="minorHAnsi"/>
        </w:rPr>
      </w:pPr>
      <w:r w:rsidRPr="002726CB">
        <w:rPr>
          <w:rFonts w:cstheme="minorHAnsi"/>
        </w:rPr>
        <w:t xml:space="preserve">At each 20mx10m plot a diagonal line was walked and at six evenly distributed points along the line (approximately every 4m) a sample of litter was shaken into a plastic tray and checked for the presence of </w:t>
      </w:r>
      <w:r w:rsidRPr="002726CB">
        <w:rPr>
          <w:rFonts w:cstheme="minorHAnsi"/>
          <w:i/>
        </w:rPr>
        <w:t>V. angustior</w:t>
      </w:r>
      <w:r w:rsidRPr="002726CB">
        <w:rPr>
          <w:rFonts w:cstheme="minorHAnsi"/>
        </w:rPr>
        <w:t xml:space="preserve"> and other species with a hand lens. </w:t>
      </w:r>
    </w:p>
    <w:p w:rsidR="00D036A9" w:rsidRPr="00FA03BD" w:rsidRDefault="00D036A9" w:rsidP="00D036A9">
      <w:pPr>
        <w:jc w:val="both"/>
        <w:rPr>
          <w:rFonts w:cstheme="minorHAnsi"/>
          <w:sz w:val="24"/>
          <w:szCs w:val="24"/>
        </w:rPr>
      </w:pPr>
    </w:p>
    <w:p w:rsidR="00D036A9" w:rsidRPr="00FA03BD" w:rsidRDefault="00D036A9" w:rsidP="00D036A9">
      <w:pPr>
        <w:pStyle w:val="ListParagraph"/>
        <w:numPr>
          <w:ilvl w:val="0"/>
          <w:numId w:val="2"/>
        </w:numPr>
        <w:spacing w:after="200" w:line="276" w:lineRule="auto"/>
        <w:jc w:val="both"/>
        <w:rPr>
          <w:rFonts w:cstheme="minorHAnsi"/>
          <w:b/>
        </w:rPr>
      </w:pPr>
      <w:r w:rsidRPr="00FA03BD">
        <w:rPr>
          <w:rFonts w:cstheme="minorHAnsi"/>
          <w:b/>
        </w:rPr>
        <w:t>Quadrat sampling - Quantitative s</w:t>
      </w:r>
      <w:r>
        <w:rPr>
          <w:rFonts w:cstheme="minorHAnsi"/>
          <w:b/>
        </w:rPr>
        <w:t>t</w:t>
      </w:r>
      <w:r w:rsidRPr="00FA03BD">
        <w:rPr>
          <w:rFonts w:cstheme="minorHAnsi"/>
          <w:b/>
        </w:rPr>
        <w:t>udy</w:t>
      </w:r>
    </w:p>
    <w:p w:rsidR="00D036A9" w:rsidRPr="00FA03BD" w:rsidRDefault="00D036A9" w:rsidP="00D036A9">
      <w:pPr>
        <w:spacing w:after="0" w:line="240" w:lineRule="auto"/>
        <w:jc w:val="both"/>
        <w:rPr>
          <w:sz w:val="24"/>
          <w:szCs w:val="24"/>
        </w:rPr>
      </w:pPr>
      <w:r w:rsidRPr="00FA03BD">
        <w:rPr>
          <w:rFonts w:cstheme="minorHAnsi"/>
          <w:sz w:val="24"/>
          <w:szCs w:val="24"/>
        </w:rPr>
        <w:t xml:space="preserve">Within each 20mx10m plot 2 monitoring quadrats </w:t>
      </w:r>
      <w:r>
        <w:rPr>
          <w:rFonts w:cstheme="minorHAnsi"/>
          <w:sz w:val="24"/>
          <w:szCs w:val="24"/>
        </w:rPr>
        <w:t>were</w:t>
      </w:r>
      <w:r w:rsidRPr="00FA03BD">
        <w:rPr>
          <w:rFonts w:cstheme="minorHAnsi"/>
          <w:sz w:val="24"/>
          <w:szCs w:val="24"/>
        </w:rPr>
        <w:t xml:space="preserve"> sampled by removing the litter layer from the base of</w:t>
      </w:r>
      <w:r w:rsidRPr="00FA03BD">
        <w:rPr>
          <w:sz w:val="24"/>
          <w:szCs w:val="24"/>
        </w:rPr>
        <w:t xml:space="preserve"> a 20cmX20cm quadrat adjoining a 4m</w:t>
      </w:r>
      <w:r w:rsidRPr="00FA03BD">
        <w:rPr>
          <w:sz w:val="24"/>
          <w:szCs w:val="24"/>
          <w:vertAlign w:val="superscript"/>
        </w:rPr>
        <w:t xml:space="preserve">2 </w:t>
      </w:r>
      <w:r w:rsidRPr="00FA03BD">
        <w:rPr>
          <w:sz w:val="24"/>
          <w:szCs w:val="24"/>
        </w:rPr>
        <w:t>botanical relev</w:t>
      </w:r>
      <w:r>
        <w:rPr>
          <w:sz w:val="24"/>
          <w:szCs w:val="24"/>
        </w:rPr>
        <w:t>é</w:t>
      </w:r>
      <w:r w:rsidRPr="00FA03BD">
        <w:rPr>
          <w:sz w:val="24"/>
          <w:szCs w:val="24"/>
        </w:rPr>
        <w:t xml:space="preserve"> area. An equivalent sample </w:t>
      </w:r>
      <w:r>
        <w:rPr>
          <w:sz w:val="24"/>
          <w:szCs w:val="24"/>
        </w:rPr>
        <w:t>was</w:t>
      </w:r>
      <w:r w:rsidRPr="00FA03BD">
        <w:rPr>
          <w:sz w:val="24"/>
          <w:szCs w:val="24"/>
        </w:rPr>
        <w:t xml:space="preserve"> removed from the same number of control quadrats with no seaweed treatment. Each sample </w:t>
      </w:r>
      <w:r>
        <w:rPr>
          <w:sz w:val="24"/>
          <w:szCs w:val="24"/>
        </w:rPr>
        <w:t>was taken back to the laboratory</w:t>
      </w:r>
      <w:r w:rsidRPr="00FA03BD">
        <w:rPr>
          <w:sz w:val="24"/>
          <w:szCs w:val="24"/>
        </w:rPr>
        <w:t xml:space="preserve">, dried and sieved and the snails in each sample </w:t>
      </w:r>
      <w:r>
        <w:rPr>
          <w:sz w:val="24"/>
          <w:szCs w:val="24"/>
        </w:rPr>
        <w:t>were</w:t>
      </w:r>
      <w:r w:rsidRPr="00FA03BD">
        <w:rPr>
          <w:sz w:val="24"/>
          <w:szCs w:val="24"/>
        </w:rPr>
        <w:t xml:space="preserve"> identified and counted</w:t>
      </w:r>
      <w:r>
        <w:rPr>
          <w:sz w:val="24"/>
          <w:szCs w:val="24"/>
        </w:rPr>
        <w:t xml:space="preserve"> under a binocular microscope with a 4X to 40X magnification</w:t>
      </w:r>
      <w:r w:rsidRPr="00FA03BD">
        <w:rPr>
          <w:sz w:val="24"/>
          <w:szCs w:val="24"/>
        </w:rPr>
        <w:t xml:space="preserve">.  </w:t>
      </w:r>
    </w:p>
    <w:p w:rsidR="00D036A9" w:rsidRPr="00442C5E" w:rsidRDefault="00D036A9" w:rsidP="00D036A9">
      <w:pPr>
        <w:jc w:val="both"/>
        <w:rPr>
          <w:b/>
          <w:sz w:val="28"/>
        </w:rPr>
      </w:pPr>
    </w:p>
    <w:p w:rsidR="00D036A9" w:rsidRDefault="00D036A9" w:rsidP="00D036A9">
      <w:pPr>
        <w:rPr>
          <w:b/>
          <w:sz w:val="28"/>
        </w:rPr>
      </w:pPr>
      <w:r>
        <w:rPr>
          <w:b/>
          <w:sz w:val="28"/>
        </w:rPr>
        <w:br w:type="page"/>
      </w:r>
    </w:p>
    <w:p w:rsidR="00D036A9" w:rsidRPr="002726CB" w:rsidRDefault="00D036A9" w:rsidP="00D036A9">
      <w:pPr>
        <w:rPr>
          <w:b/>
        </w:rPr>
      </w:pPr>
      <w:r w:rsidRPr="002726CB">
        <w:rPr>
          <w:b/>
        </w:rPr>
        <w:lastRenderedPageBreak/>
        <w:t xml:space="preserve">3.0 Results  </w:t>
      </w:r>
    </w:p>
    <w:p w:rsidR="00D036A9" w:rsidRPr="002726CB"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spacing w:after="0" w:line="240" w:lineRule="auto"/>
        <w:jc w:val="both"/>
        <w:rPr>
          <w:noProof/>
          <w:lang w:eastAsia="en-IE"/>
        </w:rPr>
      </w:pPr>
      <w:r w:rsidRPr="002726CB">
        <w:rPr>
          <w:noProof/>
          <w:lang w:eastAsia="en-GB"/>
        </w:rPr>
        <mc:AlternateContent>
          <mc:Choice Requires="wps">
            <w:drawing>
              <wp:anchor distT="0" distB="0" distL="114300" distR="114300" simplePos="0" relativeHeight="251659264" behindDoc="0" locked="0" layoutInCell="1" allowOverlap="1" wp14:anchorId="1A33226F" wp14:editId="36BCB1E6">
                <wp:simplePos x="0" y="0"/>
                <wp:positionH relativeFrom="column">
                  <wp:posOffset>4236720</wp:posOffset>
                </wp:positionH>
                <wp:positionV relativeFrom="paragraph">
                  <wp:posOffset>-810895</wp:posOffset>
                </wp:positionV>
                <wp:extent cx="838200" cy="152400"/>
                <wp:effectExtent l="7620" t="3810" r="1905" b="5715"/>
                <wp:wrapNone/>
                <wp:docPr id="384" name="Rounded 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1524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4" o:spid="_x0000_s1026" style="position:absolute;margin-left:333.6pt;margin-top:-63.85pt;width:66pt;height: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" stroked="f"/>
            </w:pict>
          </mc:Fallback>
        </mc:AlternateContent>
      </w:r>
      <w:r w:rsidRPr="002726CB">
        <w:rPr>
          <w:noProof/>
          <w:lang w:eastAsia="en-IE"/>
        </w:rPr>
        <w:t xml:space="preserve">The locations of the 11 20x10m plots, and the study and control relevees are shown in </w:t>
      </w:r>
      <w:r w:rsidRPr="002726CB">
        <w:rPr>
          <w:noProof/>
          <w:color w:val="000000" w:themeColor="text1"/>
          <w:lang w:eastAsia="en-IE"/>
        </w:rPr>
        <w:t>Figures 3.1 to 3.4.</w:t>
      </w:r>
      <w:r w:rsidRPr="002726CB">
        <w:rPr>
          <w:noProof/>
          <w:lang w:eastAsia="en-IE"/>
        </w:rPr>
        <w:t xml:space="preserve"> </w:t>
      </w:r>
    </w:p>
    <w:p w:rsidR="00D036A9" w:rsidRPr="002726CB"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spacing w:after="0" w:line="240" w:lineRule="auto"/>
        <w:jc w:val="both"/>
        <w:rPr>
          <w:noProof/>
          <w:lang w:eastAsia="en-IE"/>
        </w:rPr>
      </w:pPr>
      <w:r w:rsidRPr="002726CB">
        <w:rPr>
          <w:noProof/>
          <w:lang w:eastAsia="en-IE"/>
        </w:rPr>
        <w:t>A description with photographs at the study sites are provided in Table 3.1.</w:t>
      </w:r>
    </w:p>
    <w:p w:rsidR="00D036A9" w:rsidRPr="002726CB"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spacing w:after="0" w:line="240" w:lineRule="auto"/>
        <w:jc w:val="both"/>
        <w:rPr>
          <w:noProof/>
          <w:lang w:eastAsia="en-IE"/>
        </w:rPr>
      </w:pPr>
    </w:p>
    <w:p w:rsidR="00D036A9" w:rsidRPr="002726CB" w:rsidRDefault="00D036A9" w:rsidP="00D036A9">
      <w:pPr>
        <w:spacing w:after="0" w:line="240" w:lineRule="auto"/>
        <w:jc w:val="both"/>
        <w:rPr>
          <w:rFonts w:cstheme="minorHAnsi"/>
        </w:rPr>
      </w:pPr>
      <w:r w:rsidRPr="002726CB">
        <w:rPr>
          <w:rFonts w:cstheme="minorHAnsi"/>
        </w:rPr>
        <w:t xml:space="preserve">The results of the 66 field assessments (six per plot along </w:t>
      </w:r>
      <w:proofErr w:type="gramStart"/>
      <w:r w:rsidRPr="002726CB">
        <w:rPr>
          <w:rFonts w:cstheme="minorHAnsi"/>
        </w:rPr>
        <w:t>the transect</w:t>
      </w:r>
      <w:proofErr w:type="gramEnd"/>
      <w:r w:rsidRPr="002726CB">
        <w:rPr>
          <w:rFonts w:cstheme="minorHAnsi"/>
        </w:rPr>
        <w:t xml:space="preserve">) are presented in Table 3.2. None of the field samples were positive for </w:t>
      </w:r>
      <w:r w:rsidRPr="002726CB">
        <w:rPr>
          <w:rFonts w:cstheme="minorHAnsi"/>
          <w:i/>
        </w:rPr>
        <w:t>Vertigo angustior</w:t>
      </w:r>
      <w:r w:rsidRPr="002726CB">
        <w:rPr>
          <w:rFonts w:cstheme="minorHAnsi"/>
        </w:rPr>
        <w:t>.</w:t>
      </w:r>
    </w:p>
    <w:p w:rsidR="00D036A9" w:rsidRPr="002726CB" w:rsidRDefault="00D036A9" w:rsidP="00D036A9">
      <w:pPr>
        <w:spacing w:after="0" w:line="240" w:lineRule="auto"/>
        <w:jc w:val="both"/>
        <w:rPr>
          <w:rFonts w:cstheme="minorHAnsi"/>
        </w:rPr>
      </w:pPr>
    </w:p>
    <w:p w:rsidR="00D036A9" w:rsidRPr="002726CB" w:rsidRDefault="00D036A9" w:rsidP="00D036A9">
      <w:pPr>
        <w:spacing w:after="0" w:line="240" w:lineRule="auto"/>
        <w:jc w:val="both"/>
        <w:rPr>
          <w:rFonts w:cstheme="minorHAnsi"/>
        </w:rPr>
      </w:pPr>
      <w:r w:rsidRPr="002726CB">
        <w:rPr>
          <w:rFonts w:cstheme="minorHAnsi"/>
        </w:rPr>
        <w:t>The results of the quantitative study are presented in Table 3.3, with a summary in Table 3.4. A total of 206 individuals of 6 species were found, with a further species (</w:t>
      </w:r>
      <w:r w:rsidRPr="002726CB">
        <w:rPr>
          <w:rFonts w:cstheme="minorHAnsi"/>
          <w:i/>
        </w:rPr>
        <w:t>Discus rotundatus</w:t>
      </w:r>
      <w:r w:rsidRPr="002726CB">
        <w:rPr>
          <w:rFonts w:cstheme="minorHAnsi"/>
        </w:rPr>
        <w:t>) found in the walking transects but not in the quantitative quadrats.</w:t>
      </w:r>
    </w:p>
    <w:p w:rsidR="00D036A9" w:rsidRPr="002726CB" w:rsidRDefault="00D036A9" w:rsidP="00D036A9">
      <w:pPr>
        <w:jc w:val="both"/>
        <w:rPr>
          <w:noProof/>
          <w:lang w:eastAsia="en-IE"/>
        </w:rPr>
      </w:pPr>
      <w:r w:rsidRPr="002726CB">
        <w:rPr>
          <w:rFonts w:cstheme="minorHAnsi"/>
        </w:rPr>
        <w:t xml:space="preserve"> </w:t>
      </w:r>
    </w:p>
    <w:p w:rsidR="00D036A9" w:rsidRPr="002726CB" w:rsidRDefault="00D036A9" w:rsidP="00D036A9">
      <w:pPr>
        <w:rPr>
          <w:b/>
        </w:rPr>
      </w:pPr>
      <w:r w:rsidRPr="008B43AB">
        <w:t xml:space="preserve"> </w:t>
      </w:r>
      <w:r w:rsidRPr="008B43AB">
        <w:rPr>
          <w:b/>
        </w:rPr>
        <w:t xml:space="preserve">Table </w:t>
      </w:r>
      <w:r w:rsidRPr="007F75C8">
        <w:rPr>
          <w:b/>
        </w:rPr>
        <w:t xml:space="preserve">3.1 Locations </w:t>
      </w:r>
      <w:r w:rsidRPr="00617651">
        <w:rPr>
          <w:b/>
        </w:rPr>
        <w:t xml:space="preserve">and descriptions of </w:t>
      </w:r>
      <w:r w:rsidRPr="002726CB">
        <w:rPr>
          <w:b/>
        </w:rPr>
        <w:t xml:space="preserve">the 11 plots and their control areas, September 2015. </w:t>
      </w:r>
    </w:p>
    <w:p w:rsidR="00D036A9" w:rsidRDefault="00D036A9" w:rsidP="00D036A9"/>
    <w:tbl>
      <w:tblPr>
        <w:tblStyle w:val="TableGrid"/>
        <w:tblW w:w="0" w:type="auto"/>
        <w:tblLayout w:type="fixed"/>
        <w:tblLook w:val="04A0" w:firstRow="1" w:lastRow="0" w:firstColumn="1" w:lastColumn="0" w:noHBand="0" w:noVBand="1"/>
      </w:tblPr>
      <w:tblGrid>
        <w:gridCol w:w="1242"/>
        <w:gridCol w:w="4397"/>
        <w:gridCol w:w="4254"/>
      </w:tblGrid>
      <w:tr w:rsidR="00D036A9" w:rsidRPr="003810B1" w:rsidTr="00B272F7">
        <w:tc>
          <w:tcPr>
            <w:tcW w:w="1242" w:type="dxa"/>
          </w:tcPr>
          <w:p w:rsidR="00D036A9" w:rsidRPr="002726CB" w:rsidRDefault="00D036A9" w:rsidP="00B272F7">
            <w:r w:rsidRPr="008B43AB">
              <w:t xml:space="preserve">Quadrat / </w:t>
            </w:r>
            <w:r w:rsidRPr="00617651">
              <w:t>location</w:t>
            </w:r>
          </w:p>
        </w:tc>
        <w:tc>
          <w:tcPr>
            <w:tcW w:w="4397" w:type="dxa"/>
          </w:tcPr>
          <w:p w:rsidR="00D036A9" w:rsidRPr="002726CB" w:rsidRDefault="00D036A9" w:rsidP="00B272F7">
            <w:r w:rsidRPr="002726CB">
              <w:t>Description In September 2015</w:t>
            </w:r>
          </w:p>
        </w:tc>
        <w:tc>
          <w:tcPr>
            <w:tcW w:w="4254" w:type="dxa"/>
          </w:tcPr>
          <w:p w:rsidR="00D036A9" w:rsidRPr="002726CB" w:rsidRDefault="00D036A9" w:rsidP="00B272F7">
            <w:r w:rsidRPr="002726CB">
              <w:t>Photograph in September 2015</w:t>
            </w:r>
          </w:p>
        </w:tc>
      </w:tr>
      <w:tr w:rsidR="00D036A9" w:rsidRPr="005741B1" w:rsidTr="00B272F7">
        <w:trPr>
          <w:trHeight w:val="4152"/>
        </w:trPr>
        <w:tc>
          <w:tcPr>
            <w:tcW w:w="1242" w:type="dxa"/>
          </w:tcPr>
          <w:p w:rsidR="00D036A9" w:rsidRPr="008B43AB" w:rsidRDefault="00D036A9" w:rsidP="00B272F7">
            <w:r w:rsidRPr="008B43AB">
              <w:t>Plot 1 IMR</w:t>
            </w:r>
          </w:p>
          <w:p w:rsidR="00D036A9" w:rsidRPr="008B43AB" w:rsidRDefault="00D036A9" w:rsidP="00B272F7">
            <w:r w:rsidRPr="008B43AB">
              <w:t>N53 05 59</w:t>
            </w:r>
          </w:p>
          <w:p w:rsidR="00D036A9" w:rsidRPr="00617651" w:rsidRDefault="00D036A9" w:rsidP="00B272F7">
            <w:r w:rsidRPr="00617651">
              <w:t>W9 39 01</w:t>
            </w:r>
          </w:p>
        </w:tc>
        <w:tc>
          <w:tcPr>
            <w:tcW w:w="4397" w:type="dxa"/>
          </w:tcPr>
          <w:p w:rsidR="00D036A9" w:rsidRPr="002726CB" w:rsidRDefault="00D036A9" w:rsidP="00B272F7">
            <w:r w:rsidRPr="002726CB">
              <w:t xml:space="preserve">The Plot is in open exposed commonage in Tramor with disturbed ground from burrowing animals. The ground was very dry with little or no understorey thatch layer. Transect points from 0m to 20m </w:t>
            </w:r>
            <w:proofErr w:type="gramStart"/>
            <w:r w:rsidRPr="002726CB">
              <w:t>were</w:t>
            </w:r>
            <w:proofErr w:type="gramEnd"/>
            <w:r w:rsidRPr="002726CB">
              <w:t xml:space="preserve"> taken at 4m intervals diagonally in a NW to SE direction. No </w:t>
            </w:r>
            <w:r w:rsidRPr="002726CB">
              <w:rPr>
                <w:i/>
              </w:rPr>
              <w:t xml:space="preserve">Vertigo angustior </w:t>
            </w:r>
            <w:r w:rsidRPr="002726CB">
              <w:t>found visually from transect hand sampling.</w:t>
            </w:r>
          </w:p>
        </w:tc>
        <w:tc>
          <w:tcPr>
            <w:tcW w:w="4254" w:type="dxa"/>
          </w:tcPr>
          <w:p w:rsidR="00D036A9" w:rsidRPr="008B43AB" w:rsidRDefault="00D036A9" w:rsidP="00B272F7">
            <w:r w:rsidRPr="008B43AB">
              <w:rPr>
                <w:noProof/>
                <w:lang w:eastAsia="en-GB"/>
              </w:rPr>
              <w:drawing>
                <wp:inline distT="0" distB="0" distL="0" distR="0" wp14:anchorId="79D00B3F" wp14:editId="3D4C5664">
                  <wp:extent cx="2606040" cy="258729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5-09-02 16.57.0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27689" cy="2608789"/>
                          </a:xfrm>
                          <a:prstGeom prst="rect">
                            <a:avLst/>
                          </a:prstGeom>
                        </pic:spPr>
                      </pic:pic>
                    </a:graphicData>
                  </a:graphic>
                </wp:inline>
              </w:drawing>
            </w:r>
          </w:p>
        </w:tc>
      </w:tr>
      <w:tr w:rsidR="00D036A9" w:rsidRPr="003810B1" w:rsidTr="00B272F7">
        <w:tc>
          <w:tcPr>
            <w:tcW w:w="1242" w:type="dxa"/>
          </w:tcPr>
          <w:p w:rsidR="00D036A9" w:rsidRPr="008B43AB" w:rsidRDefault="00D036A9" w:rsidP="00B272F7">
            <w:r w:rsidRPr="008B43AB">
              <w:t>Plot 2 IMR.</w:t>
            </w:r>
          </w:p>
          <w:p w:rsidR="00D036A9" w:rsidRPr="008B43AB" w:rsidRDefault="00D036A9" w:rsidP="00B272F7">
            <w:r w:rsidRPr="008B43AB">
              <w:t>N53 05 49</w:t>
            </w:r>
          </w:p>
          <w:p w:rsidR="00D036A9" w:rsidRPr="00617651" w:rsidRDefault="00D036A9" w:rsidP="00B272F7">
            <w:r w:rsidRPr="00617651">
              <w:t>W09 38 36</w:t>
            </w:r>
          </w:p>
        </w:tc>
        <w:tc>
          <w:tcPr>
            <w:tcW w:w="4397" w:type="dxa"/>
          </w:tcPr>
          <w:p w:rsidR="00D036A9" w:rsidRPr="002726CB" w:rsidRDefault="00D036A9" w:rsidP="00B272F7">
            <w:r w:rsidRPr="002726CB">
              <w:t xml:space="preserve">The plot had a dense vegetative cover from the seaweed application with good underlying thatch. Transect points from 0m to 20m </w:t>
            </w:r>
            <w:proofErr w:type="gramStart"/>
            <w:r w:rsidRPr="002726CB">
              <w:t>were</w:t>
            </w:r>
            <w:proofErr w:type="gramEnd"/>
            <w:r w:rsidRPr="002726CB">
              <w:t xml:space="preserve"> taken at 4m intervals diagonally in a SW to NE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r w:rsidRPr="008B43AB">
              <w:rPr>
                <w:noProof/>
                <w:lang w:eastAsia="en-GB"/>
              </w:rPr>
              <w:drawing>
                <wp:inline distT="0" distB="0" distL="0" distR="0" wp14:anchorId="1637C63D" wp14:editId="74BCC0D6">
                  <wp:extent cx="2700000" cy="2028616"/>
                  <wp:effectExtent l="19050" t="0" r="5100" b="0"/>
                  <wp:docPr id="61" name="Picture 8" descr="IMG_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7975"/>
                          <pic:cNvPicPr>
                            <a:picLocks noChangeAspect="1" noChangeArrowheads="1"/>
                          </pic:cNvPicPr>
                        </pic:nvPicPr>
                        <pic:blipFill>
                          <a:blip r:embed="rId68" cstate="print"/>
                          <a:srcRect/>
                          <a:stretch>
                            <a:fillRect/>
                          </a:stretch>
                        </pic:blipFill>
                        <pic:spPr bwMode="auto">
                          <a:xfrm>
                            <a:off x="0" y="0"/>
                            <a:ext cx="2700000" cy="2028616"/>
                          </a:xfrm>
                          <a:prstGeom prst="rect">
                            <a:avLst/>
                          </a:prstGeom>
                          <a:noFill/>
                          <a:ln w="9525">
                            <a:noFill/>
                            <a:miter lim="800000"/>
                            <a:headEnd/>
                            <a:tailEnd/>
                          </a:ln>
                        </pic:spPr>
                      </pic:pic>
                    </a:graphicData>
                  </a:graphic>
                </wp:inline>
              </w:drawing>
            </w:r>
          </w:p>
          <w:p w:rsidR="00D036A9" w:rsidRPr="008B43AB" w:rsidRDefault="00D036A9" w:rsidP="00B272F7"/>
        </w:tc>
      </w:tr>
      <w:tr w:rsidR="00D036A9" w:rsidTr="00B272F7">
        <w:trPr>
          <w:trHeight w:val="3818"/>
        </w:trPr>
        <w:tc>
          <w:tcPr>
            <w:tcW w:w="1242" w:type="dxa"/>
          </w:tcPr>
          <w:p w:rsidR="00D036A9" w:rsidRPr="008B43AB" w:rsidRDefault="00D036A9" w:rsidP="00B272F7">
            <w:r w:rsidRPr="008B43AB">
              <w:lastRenderedPageBreak/>
              <w:t>Plot 3 IMR.</w:t>
            </w:r>
          </w:p>
          <w:p w:rsidR="00D036A9" w:rsidRPr="008B43AB" w:rsidRDefault="00D036A9" w:rsidP="00B272F7">
            <w:r w:rsidRPr="008B43AB">
              <w:t>N53 05 59</w:t>
            </w:r>
          </w:p>
          <w:p w:rsidR="00D036A9" w:rsidRPr="00617651" w:rsidRDefault="00D036A9" w:rsidP="00B272F7">
            <w:r w:rsidRPr="00617651">
              <w:t>W09 39 01</w:t>
            </w:r>
          </w:p>
        </w:tc>
        <w:tc>
          <w:tcPr>
            <w:tcW w:w="4397" w:type="dxa"/>
          </w:tcPr>
          <w:p w:rsidR="00D036A9" w:rsidRPr="002726CB" w:rsidRDefault="00D036A9" w:rsidP="00B272F7">
            <w:r w:rsidRPr="002726CB">
              <w:t xml:space="preserve">The Plot in Tramor commonage had bare exposed sand and colonizing vegetation. No control samples were collected as the area outside the plot consisted of bare open sand with little vegetation or thatch layer. Transect points from 0m to 20m </w:t>
            </w:r>
            <w:proofErr w:type="gramStart"/>
            <w:r w:rsidRPr="002726CB">
              <w:t>were</w:t>
            </w:r>
            <w:proofErr w:type="gramEnd"/>
            <w:r w:rsidRPr="002726CB">
              <w:t xml:space="preserve"> taken at 4m intervals diagonally in a SE to NW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r w:rsidRPr="008B43AB">
              <w:rPr>
                <w:noProof/>
                <w:lang w:eastAsia="en-GB"/>
              </w:rPr>
              <w:drawing>
                <wp:inline distT="0" distB="0" distL="0" distR="0" wp14:anchorId="76DD5E92" wp14:editId="2581FF27">
                  <wp:extent cx="2608862" cy="24067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5-09-03 14.51.4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12287" cy="2409930"/>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t>Plot 4 IMR.</w:t>
            </w:r>
          </w:p>
          <w:p w:rsidR="00D036A9" w:rsidRPr="008B43AB" w:rsidRDefault="00D036A9" w:rsidP="00B272F7"/>
        </w:tc>
        <w:tc>
          <w:tcPr>
            <w:tcW w:w="4397" w:type="dxa"/>
          </w:tcPr>
          <w:p w:rsidR="00D036A9" w:rsidRPr="002726CB" w:rsidRDefault="00D036A9" w:rsidP="00B272F7">
            <w:r w:rsidRPr="00617651">
              <w:t xml:space="preserve">Plot consisted of exposed bare sand with little vegetation. No samples were collected. Transect points from 0m to 20m </w:t>
            </w:r>
            <w:proofErr w:type="gramStart"/>
            <w:r w:rsidRPr="00617651">
              <w:t>were</w:t>
            </w:r>
            <w:proofErr w:type="gramEnd"/>
            <w:r w:rsidRPr="00617651">
              <w:t xml:space="preserve"> taken at 4m intervals dia</w:t>
            </w:r>
            <w:r w:rsidRPr="002726CB">
              <w:t xml:space="preserve">gonally in a SE to NW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6B4EB3F3" wp14:editId="455A5D2D">
                  <wp:extent cx="2600552" cy="24320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003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18208" cy="2448562"/>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t>Plot 5 IMR.</w:t>
            </w:r>
          </w:p>
          <w:p w:rsidR="00D036A9" w:rsidRPr="008B43AB" w:rsidRDefault="00D036A9" w:rsidP="00B272F7"/>
        </w:tc>
        <w:tc>
          <w:tcPr>
            <w:tcW w:w="4397" w:type="dxa"/>
          </w:tcPr>
          <w:p w:rsidR="00D036A9" w:rsidRPr="002726CB" w:rsidRDefault="00D036A9" w:rsidP="00B272F7">
            <w:r w:rsidRPr="00617651">
              <w:t xml:space="preserve">The plot consisted of dense low vegetation in a field that had been grazed recently by </w:t>
            </w:r>
            <w:proofErr w:type="gramStart"/>
            <w:r w:rsidRPr="00617651">
              <w:t>cattle,</w:t>
            </w:r>
            <w:proofErr w:type="gramEnd"/>
            <w:r w:rsidRPr="00617651">
              <w:t xml:space="preserve"> There was also a good depth of damp thatch. Tr</w:t>
            </w:r>
            <w:r w:rsidRPr="002726CB">
              <w:t xml:space="preserve">ansect points from 0m to 20m </w:t>
            </w:r>
            <w:proofErr w:type="gramStart"/>
            <w:r w:rsidRPr="002726CB">
              <w:t>were</w:t>
            </w:r>
            <w:proofErr w:type="gramEnd"/>
            <w:r w:rsidRPr="002726CB">
              <w:t xml:space="preserve"> taken at 4m intervals diagonally in a SE to NW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033F92E9" wp14:editId="38F3B3E3">
                  <wp:extent cx="2564765" cy="2493033"/>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00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76820" cy="2504751"/>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lastRenderedPageBreak/>
              <w:t>Plot 6 IMR.</w:t>
            </w:r>
          </w:p>
        </w:tc>
        <w:tc>
          <w:tcPr>
            <w:tcW w:w="4397" w:type="dxa"/>
          </w:tcPr>
          <w:p w:rsidR="00D036A9" w:rsidRPr="002726CB" w:rsidRDefault="00D036A9" w:rsidP="00B272F7">
            <w:r w:rsidRPr="008B43AB">
              <w:t>Within the same field as Plot 5 but at a higher elevation with the plot sloping fro</w:t>
            </w:r>
            <w:r w:rsidRPr="00617651">
              <w:t xml:space="preserve">m East to West. Good dense vegetative coverage and damp thatch layer were found. Transect points from 0m to 20m </w:t>
            </w:r>
            <w:proofErr w:type="gramStart"/>
            <w:r w:rsidRPr="00617651">
              <w:t>were</w:t>
            </w:r>
            <w:proofErr w:type="gramEnd"/>
            <w:r w:rsidRPr="00617651">
              <w:t xml:space="preserve"> taken at 4m intervals diagonally in a SE to NW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323B1215" wp14:editId="1F318978">
                  <wp:extent cx="2608891" cy="2415397"/>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003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14987" cy="2421041"/>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t>Plot 7 INM.</w:t>
            </w:r>
          </w:p>
          <w:p w:rsidR="00D036A9" w:rsidRPr="008B43AB" w:rsidRDefault="00D036A9" w:rsidP="00B272F7">
            <w:r w:rsidRPr="008B43AB">
              <w:t>N53 05 51 W09 34 25</w:t>
            </w:r>
          </w:p>
        </w:tc>
        <w:tc>
          <w:tcPr>
            <w:tcW w:w="4397" w:type="dxa"/>
          </w:tcPr>
          <w:p w:rsidR="00D036A9" w:rsidRPr="002726CB" w:rsidRDefault="00D036A9" w:rsidP="00B272F7">
            <w:r w:rsidRPr="00617651">
              <w:t xml:space="preserve">Plot was within a field that had a dense vegetative cover with a good damp understorey of thatch. Transect points from 0m to 20m </w:t>
            </w:r>
            <w:proofErr w:type="gramStart"/>
            <w:r w:rsidRPr="00617651">
              <w:t>were</w:t>
            </w:r>
            <w:proofErr w:type="gramEnd"/>
            <w:r w:rsidRPr="00617651">
              <w:t xml:space="preserve"> taken at 4m intervals diagonally in a SW to NE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266C7C40" wp14:editId="2AE778E6">
                  <wp:extent cx="2606630" cy="243205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50902_11355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13430" cy="2438394"/>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t>Plot 8 INM.</w:t>
            </w:r>
          </w:p>
          <w:p w:rsidR="00D036A9" w:rsidRPr="008B43AB" w:rsidRDefault="00D036A9" w:rsidP="00B272F7">
            <w:r w:rsidRPr="008B43AB">
              <w:t>N53 05 50</w:t>
            </w:r>
          </w:p>
          <w:p w:rsidR="00D036A9" w:rsidRPr="00617651" w:rsidRDefault="00D036A9" w:rsidP="00B272F7">
            <w:r w:rsidRPr="00617651">
              <w:t>W09 34 17</w:t>
            </w:r>
          </w:p>
        </w:tc>
        <w:tc>
          <w:tcPr>
            <w:tcW w:w="4397" w:type="dxa"/>
          </w:tcPr>
          <w:p w:rsidR="00D036A9" w:rsidRPr="002726CB" w:rsidRDefault="00D036A9" w:rsidP="00B272F7">
            <w:r w:rsidRPr="002726CB">
              <w:t xml:space="preserve">Good low vegetative coverage found but the understorey consisted of dry sand with little thatch. Transect points from 0m to 20m </w:t>
            </w:r>
            <w:proofErr w:type="gramStart"/>
            <w:r w:rsidRPr="002726CB">
              <w:t>were</w:t>
            </w:r>
            <w:proofErr w:type="gramEnd"/>
            <w:r w:rsidRPr="002726CB">
              <w:t xml:space="preserve"> taken at 4m intervals diagonally in a SE to NW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30A4F29B" wp14:editId="42FBEA38">
                  <wp:extent cx="2598005" cy="243205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5-09-02 14.02.1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04505" cy="2438134"/>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lastRenderedPageBreak/>
              <w:t>Plot 9 INM.</w:t>
            </w:r>
          </w:p>
          <w:p w:rsidR="00D036A9" w:rsidRPr="008B43AB" w:rsidRDefault="00D036A9" w:rsidP="00B272F7">
            <w:r w:rsidRPr="008B43AB">
              <w:t>N53 05 51</w:t>
            </w:r>
          </w:p>
          <w:p w:rsidR="00D036A9" w:rsidRPr="00617651" w:rsidRDefault="00D036A9" w:rsidP="00B272F7">
            <w:r w:rsidRPr="00617651">
              <w:t>W09 34 16</w:t>
            </w:r>
          </w:p>
        </w:tc>
        <w:tc>
          <w:tcPr>
            <w:tcW w:w="4397" w:type="dxa"/>
          </w:tcPr>
          <w:p w:rsidR="00D036A9" w:rsidRPr="002726CB" w:rsidRDefault="00D036A9" w:rsidP="00B272F7">
            <w:r w:rsidRPr="002726CB">
              <w:t xml:space="preserve">Very dry plot with sparse vegetation and little or no thatch in places. Transect points from 0m to 20m </w:t>
            </w:r>
            <w:proofErr w:type="gramStart"/>
            <w:r w:rsidRPr="002726CB">
              <w:t>were</w:t>
            </w:r>
            <w:proofErr w:type="gramEnd"/>
            <w:r w:rsidRPr="002726CB">
              <w:t xml:space="preserve"> taken at 4m intervals diagonally in a SE to NW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51A4E419" wp14:editId="3DCF86C6">
                  <wp:extent cx="2606908" cy="244094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5-09-10 12.19.1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15478" cy="2448964"/>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t>Plot 10 INM.</w:t>
            </w:r>
          </w:p>
          <w:p w:rsidR="00D036A9" w:rsidRPr="008B43AB" w:rsidRDefault="00D036A9" w:rsidP="00B272F7">
            <w:r w:rsidRPr="008B43AB">
              <w:t>N53 05 51</w:t>
            </w:r>
          </w:p>
          <w:p w:rsidR="00D036A9" w:rsidRPr="00617651" w:rsidRDefault="00D036A9" w:rsidP="00B272F7">
            <w:r w:rsidRPr="00617651">
              <w:t>W09 34 12</w:t>
            </w:r>
          </w:p>
        </w:tc>
        <w:tc>
          <w:tcPr>
            <w:tcW w:w="4397" w:type="dxa"/>
          </w:tcPr>
          <w:p w:rsidR="00D036A9" w:rsidRPr="002726CB" w:rsidRDefault="00D036A9" w:rsidP="00B272F7">
            <w:r w:rsidRPr="002726CB">
              <w:t xml:space="preserve">A very dry sandy plot with sparse vegetation and no understorey of thatch. Transect points from 0m to 20m </w:t>
            </w:r>
            <w:proofErr w:type="gramStart"/>
            <w:r w:rsidRPr="002726CB">
              <w:t>were</w:t>
            </w:r>
            <w:proofErr w:type="gramEnd"/>
            <w:r w:rsidRPr="002726CB">
              <w:t xml:space="preserve"> taken at 4m intervals diagonally in a NW to SE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1F46CC57" wp14:editId="7A19E0B8">
                  <wp:extent cx="2572234" cy="2414905"/>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50910_13070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76446" cy="2418859"/>
                          </a:xfrm>
                          <a:prstGeom prst="rect">
                            <a:avLst/>
                          </a:prstGeom>
                        </pic:spPr>
                      </pic:pic>
                    </a:graphicData>
                  </a:graphic>
                </wp:inline>
              </w:drawing>
            </w:r>
          </w:p>
        </w:tc>
      </w:tr>
      <w:tr w:rsidR="00D036A9" w:rsidTr="00B272F7">
        <w:trPr>
          <w:trHeight w:val="3818"/>
        </w:trPr>
        <w:tc>
          <w:tcPr>
            <w:tcW w:w="1242" w:type="dxa"/>
          </w:tcPr>
          <w:p w:rsidR="00D036A9" w:rsidRPr="008B43AB" w:rsidRDefault="00D036A9" w:rsidP="00B272F7">
            <w:r w:rsidRPr="008B43AB">
              <w:t>Plot 11 INM.</w:t>
            </w:r>
          </w:p>
          <w:p w:rsidR="00D036A9" w:rsidRPr="008B43AB" w:rsidRDefault="00D036A9" w:rsidP="00B272F7">
            <w:r w:rsidRPr="008B43AB">
              <w:t>N53 05 28</w:t>
            </w:r>
          </w:p>
          <w:p w:rsidR="00D036A9" w:rsidRPr="00617651" w:rsidRDefault="00D036A9" w:rsidP="00B272F7">
            <w:r w:rsidRPr="00617651">
              <w:t>W09 34 07</w:t>
            </w:r>
          </w:p>
        </w:tc>
        <w:tc>
          <w:tcPr>
            <w:tcW w:w="4397" w:type="dxa"/>
          </w:tcPr>
          <w:p w:rsidR="00D036A9" w:rsidRPr="002726CB" w:rsidRDefault="00D036A9" w:rsidP="00B272F7">
            <w:r w:rsidRPr="002726CB">
              <w:t xml:space="preserve">Dry open sand area but improvement seen visually with colonizing vegetation after recent seaweed application. There was little or no understorey of thatch. Transect points from 0m to 20m </w:t>
            </w:r>
            <w:proofErr w:type="gramStart"/>
            <w:r w:rsidRPr="002726CB">
              <w:t>were</w:t>
            </w:r>
            <w:proofErr w:type="gramEnd"/>
            <w:r w:rsidRPr="002726CB">
              <w:t xml:space="preserve"> taken at 4m intervals diagonally in a SE to NW direction. No </w:t>
            </w:r>
            <w:r w:rsidRPr="002726CB">
              <w:rPr>
                <w:i/>
              </w:rPr>
              <w:t>Vertigo angustior</w:t>
            </w:r>
            <w:r w:rsidRPr="002726CB">
              <w:t xml:space="preserve"> found visually from transect hand sampling.</w:t>
            </w:r>
          </w:p>
          <w:p w:rsidR="00D036A9" w:rsidRPr="002726CB" w:rsidRDefault="00D036A9" w:rsidP="00B272F7"/>
        </w:tc>
        <w:tc>
          <w:tcPr>
            <w:tcW w:w="4254" w:type="dxa"/>
          </w:tcPr>
          <w:p w:rsidR="00D036A9" w:rsidRPr="008B43AB" w:rsidRDefault="00D036A9" w:rsidP="00B272F7">
            <w:pPr>
              <w:rPr>
                <w:noProof/>
                <w:lang w:eastAsia="en-GB"/>
              </w:rPr>
            </w:pPr>
            <w:r w:rsidRPr="008B43AB">
              <w:rPr>
                <w:noProof/>
                <w:lang w:eastAsia="en-GB"/>
              </w:rPr>
              <w:drawing>
                <wp:inline distT="0" distB="0" distL="0" distR="0" wp14:anchorId="3FC69203" wp14:editId="3FDC446C">
                  <wp:extent cx="2564130" cy="2415396"/>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50902_12444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68216" cy="2419245"/>
                          </a:xfrm>
                          <a:prstGeom prst="rect">
                            <a:avLst/>
                          </a:prstGeom>
                        </pic:spPr>
                      </pic:pic>
                    </a:graphicData>
                  </a:graphic>
                </wp:inline>
              </w:drawing>
            </w:r>
          </w:p>
        </w:tc>
      </w:tr>
    </w:tbl>
    <w:p w:rsidR="00D036A9" w:rsidRDefault="00D036A9" w:rsidP="00D036A9"/>
    <w:p w:rsidR="00D036A9" w:rsidRDefault="00D036A9" w:rsidP="00D036A9"/>
    <w:p w:rsidR="00D036A9" w:rsidRDefault="00D036A9" w:rsidP="00D036A9"/>
    <w:p w:rsidR="00D036A9" w:rsidRDefault="00D036A9" w:rsidP="00D036A9"/>
    <w:p w:rsidR="00D036A9" w:rsidRPr="00CC7B92" w:rsidRDefault="00D036A9" w:rsidP="00D036A9">
      <w:pPr>
        <w:rPr>
          <w:sz w:val="24"/>
          <w:szCs w:val="24"/>
        </w:rPr>
      </w:pPr>
    </w:p>
    <w:p w:rsidR="00D036A9" w:rsidRDefault="00D036A9" w:rsidP="00D036A9">
      <w:pPr>
        <w:jc w:val="both"/>
        <w:rPr>
          <w:sz w:val="24"/>
          <w:szCs w:val="24"/>
        </w:rPr>
      </w:pPr>
    </w:p>
    <w:p w:rsidR="00D036A9" w:rsidRPr="00D47D37" w:rsidRDefault="00D036A9" w:rsidP="00D036A9">
      <w:pPr>
        <w:rPr>
          <w:b/>
        </w:rPr>
      </w:pPr>
      <w:r w:rsidRPr="00D47D37">
        <w:rPr>
          <w:b/>
        </w:rPr>
        <w:t xml:space="preserve">Table 3.2 Results of the field sampling across the diagonal transects in the 11 plots. Species follow the nomenclature of Anderson (2005). </w:t>
      </w:r>
    </w:p>
    <w:p w:rsidR="00D036A9" w:rsidRPr="00CC7B92" w:rsidRDefault="00D036A9" w:rsidP="00D036A9">
      <w:pPr>
        <w:rPr>
          <w:b/>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504"/>
        <w:gridCol w:w="504"/>
        <w:gridCol w:w="504"/>
        <w:gridCol w:w="615"/>
        <w:gridCol w:w="615"/>
        <w:gridCol w:w="615"/>
        <w:gridCol w:w="504"/>
        <w:gridCol w:w="504"/>
        <w:gridCol w:w="504"/>
        <w:gridCol w:w="615"/>
        <w:gridCol w:w="615"/>
        <w:gridCol w:w="615"/>
      </w:tblGrid>
      <w:tr w:rsidR="00D036A9" w:rsidTr="00B272F7">
        <w:tc>
          <w:tcPr>
            <w:tcW w:w="0" w:type="auto"/>
          </w:tcPr>
          <w:p w:rsidR="00D036A9" w:rsidRPr="0025376C" w:rsidRDefault="00D036A9" w:rsidP="00B272F7">
            <w:pPr>
              <w:jc w:val="both"/>
            </w:pPr>
            <w:r>
              <w:t xml:space="preserve"> Plot</w:t>
            </w:r>
          </w:p>
        </w:tc>
        <w:tc>
          <w:tcPr>
            <w:tcW w:w="0" w:type="auto"/>
            <w:gridSpan w:val="6"/>
          </w:tcPr>
          <w:p w:rsidR="00D036A9" w:rsidRDefault="00D036A9" w:rsidP="00B272F7">
            <w:pPr>
              <w:jc w:val="center"/>
            </w:pPr>
            <w:r>
              <w:t>1 IMR</w:t>
            </w:r>
          </w:p>
        </w:tc>
        <w:tc>
          <w:tcPr>
            <w:tcW w:w="0" w:type="auto"/>
            <w:gridSpan w:val="6"/>
          </w:tcPr>
          <w:p w:rsidR="00D036A9" w:rsidRDefault="00D036A9" w:rsidP="00B272F7">
            <w:pPr>
              <w:jc w:val="center"/>
            </w:pPr>
            <w:r w:rsidRPr="00EA4B3A">
              <w:t>2</w:t>
            </w:r>
            <w:r>
              <w:t xml:space="preserve"> IMR</w:t>
            </w:r>
          </w:p>
        </w:tc>
      </w:tr>
      <w:tr w:rsidR="00D036A9" w:rsidTr="00B272F7">
        <w:tc>
          <w:tcPr>
            <w:tcW w:w="0" w:type="auto"/>
          </w:tcPr>
          <w:p w:rsidR="00D036A9" w:rsidRPr="0025376C" w:rsidRDefault="00D036A9" w:rsidP="00B272F7">
            <w:pPr>
              <w:jc w:val="both"/>
            </w:pPr>
            <w:r>
              <w:t>Species</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r>
      <w:tr w:rsidR="00D036A9" w:rsidTr="00B272F7">
        <w:tc>
          <w:tcPr>
            <w:tcW w:w="0" w:type="auto"/>
          </w:tcPr>
          <w:p w:rsidR="00D036A9" w:rsidRPr="00D47D37" w:rsidRDefault="00D036A9" w:rsidP="00B272F7">
            <w:pPr>
              <w:jc w:val="both"/>
              <w:rPr>
                <w:i/>
                <w:sz w:val="20"/>
                <w:szCs w:val="20"/>
              </w:rPr>
            </w:pPr>
            <w:r w:rsidRPr="00D47D37">
              <w:rPr>
                <w:i/>
                <w:sz w:val="20"/>
                <w:szCs w:val="20"/>
              </w:rPr>
              <w:t>Helicella itala</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2</w:t>
            </w: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3</w:t>
            </w:r>
          </w:p>
        </w:tc>
        <w:tc>
          <w:tcPr>
            <w:tcW w:w="0" w:type="auto"/>
          </w:tcPr>
          <w:p w:rsidR="00D036A9"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r>
      <w:tr w:rsidR="00D036A9" w:rsidTr="00B272F7">
        <w:tc>
          <w:tcPr>
            <w:tcW w:w="0" w:type="auto"/>
          </w:tcPr>
          <w:p w:rsidR="00D036A9" w:rsidRPr="00D47D37" w:rsidRDefault="00D036A9" w:rsidP="00B272F7">
            <w:pPr>
              <w:jc w:val="both"/>
              <w:rPr>
                <w:i/>
                <w:sz w:val="20"/>
                <w:szCs w:val="20"/>
              </w:rPr>
            </w:pPr>
            <w:r w:rsidRPr="00D47D37">
              <w:rPr>
                <w:i/>
                <w:sz w:val="20"/>
                <w:szCs w:val="20"/>
              </w:rPr>
              <w:t>Candidula intersecta</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r>
      <w:tr w:rsidR="00D036A9" w:rsidTr="00B272F7">
        <w:tc>
          <w:tcPr>
            <w:tcW w:w="0" w:type="auto"/>
          </w:tcPr>
          <w:p w:rsidR="00D036A9" w:rsidRPr="00D47D37" w:rsidRDefault="00D036A9" w:rsidP="00B272F7">
            <w:pPr>
              <w:jc w:val="both"/>
              <w:rPr>
                <w:i/>
                <w:sz w:val="20"/>
                <w:szCs w:val="20"/>
              </w:rPr>
            </w:pPr>
            <w:r w:rsidRPr="00D47D37">
              <w:rPr>
                <w:i/>
                <w:sz w:val="20"/>
                <w:szCs w:val="20"/>
              </w:rPr>
              <w:t>Discus rotundatus</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r>
      <w:tr w:rsidR="00D036A9" w:rsidTr="00B272F7">
        <w:tc>
          <w:tcPr>
            <w:tcW w:w="0" w:type="auto"/>
          </w:tcPr>
          <w:p w:rsidR="00D036A9" w:rsidRPr="0025376C" w:rsidRDefault="00D036A9" w:rsidP="00B272F7">
            <w:pPr>
              <w:jc w:val="both"/>
            </w:pPr>
            <w:r>
              <w:t>Total individuals</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2</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5</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r>
      <w:tr w:rsidR="00D036A9" w:rsidTr="00B272F7">
        <w:trPr>
          <w:trHeight w:val="346"/>
        </w:trPr>
        <w:tc>
          <w:tcPr>
            <w:tcW w:w="0" w:type="auto"/>
          </w:tcPr>
          <w:p w:rsidR="00D036A9" w:rsidRPr="0025376C" w:rsidRDefault="00D036A9" w:rsidP="00B272F7">
            <w:pPr>
              <w:jc w:val="both"/>
            </w:pPr>
            <w:r>
              <w:t>Total species</w:t>
            </w:r>
          </w:p>
        </w:tc>
        <w:tc>
          <w:tcPr>
            <w:tcW w:w="0" w:type="auto"/>
          </w:tcPr>
          <w:p w:rsidR="00D036A9" w:rsidRPr="0025376C" w:rsidRDefault="00D036A9" w:rsidP="00B272F7"/>
        </w:tc>
        <w:tc>
          <w:tcPr>
            <w:tcW w:w="0" w:type="auto"/>
          </w:tcPr>
          <w:p w:rsidR="00D036A9"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r>
              <w:t>3</w:t>
            </w: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r>
    </w:tbl>
    <w:p w:rsidR="00D036A9" w:rsidRPr="00655937"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sz w:val="24"/>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504"/>
        <w:gridCol w:w="504"/>
        <w:gridCol w:w="504"/>
        <w:gridCol w:w="615"/>
        <w:gridCol w:w="615"/>
        <w:gridCol w:w="615"/>
        <w:gridCol w:w="504"/>
        <w:gridCol w:w="504"/>
        <w:gridCol w:w="504"/>
        <w:gridCol w:w="615"/>
        <w:gridCol w:w="615"/>
        <w:gridCol w:w="615"/>
      </w:tblGrid>
      <w:tr w:rsidR="00D036A9" w:rsidTr="00B272F7">
        <w:tc>
          <w:tcPr>
            <w:tcW w:w="0" w:type="auto"/>
          </w:tcPr>
          <w:p w:rsidR="00D036A9" w:rsidRPr="0025376C" w:rsidRDefault="00D036A9" w:rsidP="00B272F7">
            <w:pPr>
              <w:jc w:val="both"/>
            </w:pPr>
            <w:r>
              <w:rPr>
                <w:b/>
              </w:rPr>
              <w:t xml:space="preserve"> </w:t>
            </w:r>
            <w:r>
              <w:t>Plot</w:t>
            </w:r>
          </w:p>
        </w:tc>
        <w:tc>
          <w:tcPr>
            <w:tcW w:w="0" w:type="auto"/>
            <w:gridSpan w:val="6"/>
          </w:tcPr>
          <w:p w:rsidR="00D036A9" w:rsidRDefault="00D036A9" w:rsidP="00B272F7">
            <w:pPr>
              <w:jc w:val="center"/>
            </w:pPr>
            <w:r>
              <w:t>3 IMR</w:t>
            </w:r>
          </w:p>
        </w:tc>
        <w:tc>
          <w:tcPr>
            <w:tcW w:w="0" w:type="auto"/>
            <w:gridSpan w:val="6"/>
          </w:tcPr>
          <w:p w:rsidR="00D036A9" w:rsidRDefault="00D036A9" w:rsidP="00B272F7">
            <w:pPr>
              <w:jc w:val="center"/>
            </w:pPr>
            <w:r>
              <w:t>4 IMR</w:t>
            </w:r>
          </w:p>
        </w:tc>
      </w:tr>
      <w:tr w:rsidR="00D036A9" w:rsidTr="00B272F7">
        <w:tc>
          <w:tcPr>
            <w:tcW w:w="0" w:type="auto"/>
          </w:tcPr>
          <w:p w:rsidR="00D036A9" w:rsidRPr="0025376C" w:rsidRDefault="00D036A9" w:rsidP="00B272F7">
            <w:pPr>
              <w:jc w:val="both"/>
            </w:pPr>
            <w:r>
              <w:t>Species</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r>
      <w:tr w:rsidR="00D036A9" w:rsidTr="00B272F7">
        <w:tc>
          <w:tcPr>
            <w:tcW w:w="0" w:type="auto"/>
          </w:tcPr>
          <w:p w:rsidR="00D036A9" w:rsidRPr="00D47D37" w:rsidRDefault="00D036A9" w:rsidP="00B272F7">
            <w:pPr>
              <w:jc w:val="both"/>
              <w:rPr>
                <w:i/>
                <w:sz w:val="20"/>
                <w:szCs w:val="20"/>
              </w:rPr>
            </w:pPr>
            <w:r w:rsidRPr="00D47D37">
              <w:rPr>
                <w:i/>
                <w:sz w:val="20"/>
                <w:szCs w:val="20"/>
              </w:rPr>
              <w:t>Candidula intersecta</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2</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r>
      <w:tr w:rsidR="00D036A9" w:rsidTr="00B272F7">
        <w:tc>
          <w:tcPr>
            <w:tcW w:w="0" w:type="auto"/>
          </w:tcPr>
          <w:p w:rsidR="00D036A9" w:rsidRPr="00D47D37" w:rsidRDefault="00D036A9" w:rsidP="00B272F7">
            <w:pPr>
              <w:jc w:val="both"/>
              <w:rPr>
                <w:i/>
                <w:sz w:val="20"/>
                <w:szCs w:val="20"/>
              </w:rPr>
            </w:pPr>
            <w:r w:rsidRPr="00D47D37">
              <w:rPr>
                <w:i/>
                <w:sz w:val="20"/>
                <w:szCs w:val="20"/>
              </w:rPr>
              <w:t>Cernuella virgata</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r>
      <w:tr w:rsidR="00D036A9" w:rsidTr="00B272F7">
        <w:tc>
          <w:tcPr>
            <w:tcW w:w="0" w:type="auto"/>
          </w:tcPr>
          <w:p w:rsidR="00D036A9" w:rsidRPr="0025376C" w:rsidRDefault="00D036A9" w:rsidP="00B272F7">
            <w:pPr>
              <w:jc w:val="both"/>
            </w:pPr>
            <w:r>
              <w:t>Total individuals</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2</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r>
      <w:tr w:rsidR="00D036A9" w:rsidTr="00B272F7">
        <w:trPr>
          <w:trHeight w:val="346"/>
        </w:trPr>
        <w:tc>
          <w:tcPr>
            <w:tcW w:w="0" w:type="auto"/>
          </w:tcPr>
          <w:p w:rsidR="00D036A9" w:rsidRPr="0025376C" w:rsidRDefault="00D036A9" w:rsidP="00B272F7">
            <w:pPr>
              <w:jc w:val="both"/>
            </w:pPr>
            <w:r>
              <w:t>Total species</w:t>
            </w:r>
          </w:p>
        </w:tc>
        <w:tc>
          <w:tcPr>
            <w:tcW w:w="0" w:type="auto"/>
          </w:tcPr>
          <w:p w:rsidR="00D036A9" w:rsidRPr="0025376C" w:rsidRDefault="00D036A9" w:rsidP="00B272F7">
            <w:pPr>
              <w:jc w:val="center"/>
            </w:pPr>
          </w:p>
        </w:tc>
        <w:tc>
          <w:tcPr>
            <w:tcW w:w="0" w:type="auto"/>
          </w:tcPr>
          <w:p w:rsidR="00D036A9"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r>
              <w:t>2</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r>
    </w:tbl>
    <w:p w:rsidR="00D036A9" w:rsidRDefault="00D036A9" w:rsidP="00D036A9">
      <w:pPr>
        <w:rPr>
          <w:b/>
          <w:sz w:val="28"/>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504"/>
        <w:gridCol w:w="504"/>
        <w:gridCol w:w="504"/>
        <w:gridCol w:w="615"/>
        <w:gridCol w:w="615"/>
        <w:gridCol w:w="615"/>
        <w:gridCol w:w="504"/>
        <w:gridCol w:w="504"/>
        <w:gridCol w:w="504"/>
        <w:gridCol w:w="615"/>
        <w:gridCol w:w="615"/>
        <w:gridCol w:w="615"/>
      </w:tblGrid>
      <w:tr w:rsidR="00D036A9" w:rsidTr="00B272F7">
        <w:tc>
          <w:tcPr>
            <w:tcW w:w="0" w:type="auto"/>
          </w:tcPr>
          <w:p w:rsidR="00D036A9" w:rsidRPr="0025376C" w:rsidRDefault="00D036A9" w:rsidP="00B272F7">
            <w:pPr>
              <w:jc w:val="both"/>
            </w:pPr>
            <w:r>
              <w:t>Plot</w:t>
            </w:r>
          </w:p>
        </w:tc>
        <w:tc>
          <w:tcPr>
            <w:tcW w:w="0" w:type="auto"/>
            <w:gridSpan w:val="6"/>
          </w:tcPr>
          <w:p w:rsidR="00D036A9" w:rsidRDefault="00D036A9" w:rsidP="00B272F7">
            <w:pPr>
              <w:jc w:val="center"/>
            </w:pPr>
            <w:r>
              <w:t>5 IMR</w:t>
            </w:r>
          </w:p>
        </w:tc>
        <w:tc>
          <w:tcPr>
            <w:tcW w:w="0" w:type="auto"/>
            <w:gridSpan w:val="6"/>
          </w:tcPr>
          <w:p w:rsidR="00D036A9" w:rsidRDefault="00D036A9" w:rsidP="00B272F7">
            <w:pPr>
              <w:jc w:val="center"/>
            </w:pPr>
            <w:r>
              <w:t>6 IMR</w:t>
            </w:r>
          </w:p>
        </w:tc>
      </w:tr>
      <w:tr w:rsidR="00D036A9" w:rsidTr="00B272F7">
        <w:tc>
          <w:tcPr>
            <w:tcW w:w="0" w:type="auto"/>
          </w:tcPr>
          <w:p w:rsidR="00D036A9" w:rsidRPr="0025376C" w:rsidRDefault="00D036A9" w:rsidP="00B272F7">
            <w:pPr>
              <w:jc w:val="both"/>
            </w:pPr>
            <w:r>
              <w:t>Species</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r>
      <w:tr w:rsidR="00D036A9" w:rsidTr="00B272F7">
        <w:trPr>
          <w:trHeight w:val="378"/>
        </w:trPr>
        <w:tc>
          <w:tcPr>
            <w:tcW w:w="0" w:type="auto"/>
          </w:tcPr>
          <w:p w:rsidR="00D036A9" w:rsidRPr="00D47D37" w:rsidRDefault="00D036A9" w:rsidP="00B272F7">
            <w:pPr>
              <w:jc w:val="both"/>
              <w:rPr>
                <w:i/>
                <w:sz w:val="20"/>
                <w:szCs w:val="20"/>
              </w:rPr>
            </w:pPr>
            <w:r w:rsidRPr="00D47D37">
              <w:rPr>
                <w:i/>
                <w:sz w:val="20"/>
                <w:szCs w:val="20"/>
              </w:rPr>
              <w:t>Cochlicopa lubricella</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3</w:t>
            </w:r>
          </w:p>
        </w:tc>
        <w:tc>
          <w:tcPr>
            <w:tcW w:w="0" w:type="auto"/>
          </w:tcPr>
          <w:p w:rsidR="00D036A9" w:rsidRPr="0025376C" w:rsidRDefault="00D036A9" w:rsidP="00B272F7">
            <w:pPr>
              <w:jc w:val="center"/>
            </w:pPr>
            <w:r>
              <w:t>3</w:t>
            </w:r>
          </w:p>
        </w:tc>
        <w:tc>
          <w:tcPr>
            <w:tcW w:w="0" w:type="auto"/>
          </w:tcPr>
          <w:p w:rsidR="00D036A9" w:rsidRDefault="00D036A9" w:rsidP="00B272F7">
            <w:pPr>
              <w:jc w:val="center"/>
            </w:pPr>
            <w:r>
              <w:t>4</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2</w:t>
            </w:r>
          </w:p>
        </w:tc>
      </w:tr>
      <w:tr w:rsidR="00D036A9" w:rsidTr="00B272F7">
        <w:tc>
          <w:tcPr>
            <w:tcW w:w="0" w:type="auto"/>
          </w:tcPr>
          <w:p w:rsidR="00D036A9" w:rsidRPr="00D47D37" w:rsidRDefault="00D036A9" w:rsidP="00B272F7">
            <w:pPr>
              <w:jc w:val="both"/>
              <w:rPr>
                <w:i/>
                <w:sz w:val="20"/>
                <w:szCs w:val="20"/>
              </w:rPr>
            </w:pPr>
            <w:r w:rsidRPr="00D47D37">
              <w:rPr>
                <w:i/>
                <w:sz w:val="20"/>
                <w:szCs w:val="20"/>
              </w:rPr>
              <w:t>Helicella itala</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2</w:t>
            </w:r>
          </w:p>
        </w:tc>
        <w:tc>
          <w:tcPr>
            <w:tcW w:w="0" w:type="auto"/>
          </w:tcPr>
          <w:p w:rsidR="00D036A9" w:rsidRPr="0025376C" w:rsidRDefault="00D036A9" w:rsidP="00B272F7">
            <w:pPr>
              <w:jc w:val="center"/>
            </w:pPr>
            <w:r>
              <w:t>3</w:t>
            </w:r>
          </w:p>
        </w:tc>
        <w:tc>
          <w:tcPr>
            <w:tcW w:w="0" w:type="auto"/>
          </w:tcPr>
          <w:p w:rsidR="00D036A9" w:rsidRPr="0025376C" w:rsidRDefault="00D036A9" w:rsidP="00B272F7">
            <w:pPr>
              <w:jc w:val="center"/>
            </w:pPr>
            <w:r>
              <w:t>3</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r>
      <w:tr w:rsidR="00D036A9" w:rsidTr="00B272F7">
        <w:tc>
          <w:tcPr>
            <w:tcW w:w="0" w:type="auto"/>
          </w:tcPr>
          <w:p w:rsidR="00D036A9" w:rsidRPr="0025376C" w:rsidRDefault="00D036A9" w:rsidP="00B272F7">
            <w:pPr>
              <w:jc w:val="both"/>
            </w:pPr>
            <w:r>
              <w:t>Total individuals</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2</w:t>
            </w:r>
          </w:p>
        </w:tc>
        <w:tc>
          <w:tcPr>
            <w:tcW w:w="0" w:type="auto"/>
          </w:tcPr>
          <w:p w:rsidR="00D036A9" w:rsidRPr="0025376C" w:rsidRDefault="00D036A9" w:rsidP="00B272F7">
            <w:pPr>
              <w:jc w:val="center"/>
            </w:pPr>
            <w:r>
              <w:t>3</w:t>
            </w:r>
          </w:p>
        </w:tc>
        <w:tc>
          <w:tcPr>
            <w:tcW w:w="0" w:type="auto"/>
          </w:tcPr>
          <w:p w:rsidR="00D036A9" w:rsidRPr="0025376C" w:rsidRDefault="00D036A9" w:rsidP="00B272F7">
            <w:pPr>
              <w:jc w:val="center"/>
            </w:pPr>
            <w:r>
              <w:t>3</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3</w:t>
            </w:r>
          </w:p>
        </w:tc>
        <w:tc>
          <w:tcPr>
            <w:tcW w:w="0" w:type="auto"/>
          </w:tcPr>
          <w:p w:rsidR="00D036A9" w:rsidRPr="0025376C" w:rsidRDefault="00D036A9" w:rsidP="00B272F7">
            <w:pPr>
              <w:jc w:val="center"/>
            </w:pPr>
            <w:r>
              <w:t>3</w:t>
            </w:r>
          </w:p>
        </w:tc>
        <w:tc>
          <w:tcPr>
            <w:tcW w:w="0" w:type="auto"/>
          </w:tcPr>
          <w:p w:rsidR="00D036A9" w:rsidRPr="0025376C" w:rsidRDefault="00D036A9" w:rsidP="00B272F7">
            <w:pPr>
              <w:jc w:val="center"/>
            </w:pPr>
            <w:r>
              <w:t>4</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2</w:t>
            </w:r>
          </w:p>
        </w:tc>
      </w:tr>
      <w:tr w:rsidR="00D036A9" w:rsidTr="00B272F7">
        <w:trPr>
          <w:trHeight w:val="346"/>
        </w:trPr>
        <w:tc>
          <w:tcPr>
            <w:tcW w:w="0" w:type="auto"/>
          </w:tcPr>
          <w:p w:rsidR="00D036A9" w:rsidRPr="0025376C" w:rsidRDefault="00D036A9" w:rsidP="00B272F7">
            <w:pPr>
              <w:jc w:val="both"/>
            </w:pPr>
            <w:r>
              <w:t>Total species</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r>
    </w:tbl>
    <w:p w:rsidR="00D036A9" w:rsidRDefault="00D036A9" w:rsidP="00D036A9">
      <w:pPr>
        <w:rPr>
          <w:b/>
          <w:sz w:val="28"/>
        </w:rPr>
      </w:pPr>
    </w:p>
    <w:p w:rsidR="00D036A9" w:rsidRDefault="00D036A9" w:rsidP="00D036A9">
      <w:pPr>
        <w:rPr>
          <w:b/>
          <w:sz w:val="28"/>
        </w:rPr>
      </w:pPr>
    </w:p>
    <w:p w:rsidR="00D036A9" w:rsidRDefault="00D036A9" w:rsidP="00D036A9">
      <w:pPr>
        <w:rPr>
          <w:b/>
          <w:sz w:val="28"/>
        </w:rPr>
      </w:pPr>
    </w:p>
    <w:p w:rsidR="00D036A9" w:rsidRDefault="00D036A9" w:rsidP="00D036A9">
      <w:pPr>
        <w:rPr>
          <w:b/>
          <w:sz w:val="28"/>
        </w:rPr>
      </w:pPr>
    </w:p>
    <w:p w:rsidR="00D036A9" w:rsidRDefault="00D036A9" w:rsidP="00D036A9">
      <w:pPr>
        <w:rPr>
          <w:b/>
          <w:sz w:val="28"/>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4"/>
        <w:gridCol w:w="504"/>
        <w:gridCol w:w="504"/>
        <w:gridCol w:w="504"/>
        <w:gridCol w:w="615"/>
        <w:gridCol w:w="615"/>
        <w:gridCol w:w="615"/>
        <w:gridCol w:w="504"/>
        <w:gridCol w:w="504"/>
        <w:gridCol w:w="504"/>
        <w:gridCol w:w="615"/>
        <w:gridCol w:w="615"/>
        <w:gridCol w:w="615"/>
      </w:tblGrid>
      <w:tr w:rsidR="00D036A9" w:rsidTr="00B272F7">
        <w:tc>
          <w:tcPr>
            <w:tcW w:w="0" w:type="auto"/>
          </w:tcPr>
          <w:p w:rsidR="00D036A9" w:rsidRPr="0025376C" w:rsidRDefault="00D036A9" w:rsidP="00B272F7">
            <w:pPr>
              <w:jc w:val="both"/>
            </w:pPr>
            <w:r>
              <w:t>Plot</w:t>
            </w:r>
          </w:p>
        </w:tc>
        <w:tc>
          <w:tcPr>
            <w:tcW w:w="0" w:type="auto"/>
            <w:gridSpan w:val="6"/>
          </w:tcPr>
          <w:p w:rsidR="00D036A9" w:rsidRDefault="00D036A9" w:rsidP="00B272F7">
            <w:pPr>
              <w:jc w:val="center"/>
            </w:pPr>
            <w:r>
              <w:t>7 IMN</w:t>
            </w:r>
          </w:p>
        </w:tc>
        <w:tc>
          <w:tcPr>
            <w:tcW w:w="0" w:type="auto"/>
            <w:gridSpan w:val="6"/>
          </w:tcPr>
          <w:p w:rsidR="00D036A9" w:rsidRDefault="00D036A9" w:rsidP="00B272F7">
            <w:pPr>
              <w:jc w:val="center"/>
            </w:pPr>
            <w:r>
              <w:t>8 IMN</w:t>
            </w:r>
          </w:p>
        </w:tc>
      </w:tr>
      <w:tr w:rsidR="00D036A9" w:rsidTr="00B272F7">
        <w:tc>
          <w:tcPr>
            <w:tcW w:w="0" w:type="auto"/>
          </w:tcPr>
          <w:p w:rsidR="00D036A9" w:rsidRPr="0025376C" w:rsidRDefault="00D036A9" w:rsidP="00B272F7">
            <w:pPr>
              <w:jc w:val="both"/>
            </w:pPr>
            <w:r>
              <w:t>Species</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r>
      <w:tr w:rsidR="00D036A9" w:rsidTr="00B272F7">
        <w:tc>
          <w:tcPr>
            <w:tcW w:w="0" w:type="auto"/>
          </w:tcPr>
          <w:p w:rsidR="00D036A9" w:rsidRPr="00A44247" w:rsidRDefault="00D036A9" w:rsidP="00B272F7">
            <w:pPr>
              <w:jc w:val="both"/>
              <w:rPr>
                <w:i/>
                <w:sz w:val="20"/>
                <w:szCs w:val="20"/>
              </w:rPr>
            </w:pPr>
            <w:r w:rsidRPr="00A44247">
              <w:rPr>
                <w:i/>
                <w:sz w:val="20"/>
                <w:szCs w:val="20"/>
              </w:rPr>
              <w:t>Helicella itala</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r>
              <w:t>3</w:t>
            </w:r>
          </w:p>
        </w:tc>
        <w:tc>
          <w:tcPr>
            <w:tcW w:w="0" w:type="auto"/>
          </w:tcPr>
          <w:p w:rsidR="00D036A9" w:rsidRDefault="00D036A9" w:rsidP="00B272F7">
            <w:pPr>
              <w:jc w:val="center"/>
            </w:pPr>
          </w:p>
        </w:tc>
      </w:tr>
      <w:tr w:rsidR="00D036A9" w:rsidTr="00B272F7">
        <w:tc>
          <w:tcPr>
            <w:tcW w:w="0" w:type="auto"/>
          </w:tcPr>
          <w:p w:rsidR="00D036A9" w:rsidRPr="0025376C" w:rsidRDefault="00D036A9" w:rsidP="00B272F7">
            <w:pPr>
              <w:jc w:val="both"/>
            </w:pPr>
            <w:r>
              <w:t>Total individuals</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3</w:t>
            </w:r>
          </w:p>
        </w:tc>
        <w:tc>
          <w:tcPr>
            <w:tcW w:w="0" w:type="auto"/>
          </w:tcPr>
          <w:p w:rsidR="00D036A9" w:rsidRPr="0025376C" w:rsidRDefault="00D036A9" w:rsidP="00B272F7">
            <w:pPr>
              <w:jc w:val="center"/>
            </w:pPr>
          </w:p>
        </w:tc>
      </w:tr>
      <w:tr w:rsidR="00D036A9" w:rsidTr="00B272F7">
        <w:trPr>
          <w:trHeight w:val="346"/>
        </w:trPr>
        <w:tc>
          <w:tcPr>
            <w:tcW w:w="0" w:type="auto"/>
          </w:tcPr>
          <w:p w:rsidR="00D036A9" w:rsidRPr="0025376C" w:rsidRDefault="00D036A9" w:rsidP="00B272F7">
            <w:pPr>
              <w:jc w:val="both"/>
            </w:pPr>
            <w:r>
              <w:t>Total species</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r>
    </w:tbl>
    <w:p w:rsidR="00D036A9" w:rsidRDefault="00D036A9" w:rsidP="00D036A9">
      <w:pPr>
        <w:rPr>
          <w:b/>
          <w:sz w:val="28"/>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4"/>
        <w:gridCol w:w="504"/>
        <w:gridCol w:w="504"/>
        <w:gridCol w:w="504"/>
        <w:gridCol w:w="615"/>
        <w:gridCol w:w="615"/>
        <w:gridCol w:w="615"/>
        <w:gridCol w:w="504"/>
        <w:gridCol w:w="504"/>
        <w:gridCol w:w="504"/>
        <w:gridCol w:w="615"/>
        <w:gridCol w:w="615"/>
        <w:gridCol w:w="615"/>
      </w:tblGrid>
      <w:tr w:rsidR="00D036A9" w:rsidTr="00B272F7">
        <w:tc>
          <w:tcPr>
            <w:tcW w:w="0" w:type="auto"/>
          </w:tcPr>
          <w:p w:rsidR="00D036A9" w:rsidRPr="0025376C" w:rsidRDefault="00D036A9" w:rsidP="00B272F7">
            <w:pPr>
              <w:jc w:val="both"/>
            </w:pPr>
            <w:r>
              <w:t>Plot</w:t>
            </w:r>
          </w:p>
        </w:tc>
        <w:tc>
          <w:tcPr>
            <w:tcW w:w="0" w:type="auto"/>
            <w:gridSpan w:val="6"/>
          </w:tcPr>
          <w:p w:rsidR="00D036A9" w:rsidRDefault="00D036A9" w:rsidP="00B272F7">
            <w:pPr>
              <w:jc w:val="center"/>
            </w:pPr>
            <w:r>
              <w:t>9 IMN</w:t>
            </w:r>
          </w:p>
        </w:tc>
        <w:tc>
          <w:tcPr>
            <w:tcW w:w="0" w:type="auto"/>
            <w:gridSpan w:val="6"/>
          </w:tcPr>
          <w:p w:rsidR="00D036A9" w:rsidRDefault="00D036A9" w:rsidP="00B272F7">
            <w:pPr>
              <w:jc w:val="center"/>
            </w:pPr>
            <w:r>
              <w:t>10 IMN</w:t>
            </w:r>
          </w:p>
        </w:tc>
      </w:tr>
      <w:tr w:rsidR="00D036A9" w:rsidTr="00B272F7">
        <w:tc>
          <w:tcPr>
            <w:tcW w:w="0" w:type="auto"/>
          </w:tcPr>
          <w:p w:rsidR="00D036A9" w:rsidRPr="0025376C" w:rsidRDefault="00D036A9" w:rsidP="00B272F7">
            <w:pPr>
              <w:jc w:val="both"/>
            </w:pPr>
            <w:r>
              <w:t>Species</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r>
      <w:tr w:rsidR="00D036A9" w:rsidTr="00B272F7">
        <w:tc>
          <w:tcPr>
            <w:tcW w:w="0" w:type="auto"/>
          </w:tcPr>
          <w:p w:rsidR="00D036A9" w:rsidRPr="00A44247" w:rsidRDefault="00D036A9" w:rsidP="00B272F7">
            <w:pPr>
              <w:jc w:val="both"/>
              <w:rPr>
                <w:i/>
                <w:sz w:val="20"/>
                <w:szCs w:val="20"/>
              </w:rPr>
            </w:pPr>
            <w:r w:rsidRPr="00A44247">
              <w:rPr>
                <w:i/>
                <w:sz w:val="20"/>
                <w:szCs w:val="20"/>
              </w:rPr>
              <w:t>Helicella itala</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r>
              <w:t>2</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c>
          <w:tcPr>
            <w:tcW w:w="0" w:type="auto"/>
          </w:tcPr>
          <w:p w:rsidR="00D036A9" w:rsidRDefault="00D036A9" w:rsidP="00B272F7">
            <w:pPr>
              <w:jc w:val="center"/>
            </w:pPr>
          </w:p>
        </w:tc>
      </w:tr>
      <w:tr w:rsidR="00D036A9" w:rsidTr="00B272F7">
        <w:tc>
          <w:tcPr>
            <w:tcW w:w="0" w:type="auto"/>
          </w:tcPr>
          <w:p w:rsidR="00D036A9" w:rsidRPr="0025376C" w:rsidRDefault="00D036A9" w:rsidP="00B272F7">
            <w:pPr>
              <w:jc w:val="both"/>
            </w:pPr>
            <w:r>
              <w:t>Total individuals</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r>
              <w:t>2</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r>
      <w:tr w:rsidR="00D036A9" w:rsidTr="00B272F7">
        <w:trPr>
          <w:trHeight w:val="346"/>
        </w:trPr>
        <w:tc>
          <w:tcPr>
            <w:tcW w:w="0" w:type="auto"/>
          </w:tcPr>
          <w:p w:rsidR="00D036A9" w:rsidRPr="0025376C" w:rsidRDefault="00D036A9" w:rsidP="00B272F7">
            <w:pPr>
              <w:jc w:val="both"/>
            </w:pPr>
            <w:r>
              <w:t>Total species</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r>
    </w:tbl>
    <w:p w:rsidR="00D036A9" w:rsidRDefault="00D036A9" w:rsidP="00D036A9">
      <w:pPr>
        <w:rPr>
          <w:b/>
          <w:sz w:val="28"/>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4"/>
        <w:gridCol w:w="504"/>
        <w:gridCol w:w="504"/>
        <w:gridCol w:w="504"/>
        <w:gridCol w:w="615"/>
        <w:gridCol w:w="615"/>
        <w:gridCol w:w="615"/>
      </w:tblGrid>
      <w:tr w:rsidR="00D036A9" w:rsidTr="00B272F7">
        <w:tc>
          <w:tcPr>
            <w:tcW w:w="0" w:type="auto"/>
          </w:tcPr>
          <w:p w:rsidR="00D036A9" w:rsidRPr="0025376C" w:rsidRDefault="00D036A9" w:rsidP="00B272F7">
            <w:pPr>
              <w:jc w:val="both"/>
            </w:pPr>
            <w:r>
              <w:t>Plot</w:t>
            </w:r>
          </w:p>
        </w:tc>
        <w:tc>
          <w:tcPr>
            <w:tcW w:w="0" w:type="auto"/>
            <w:gridSpan w:val="6"/>
          </w:tcPr>
          <w:p w:rsidR="00D036A9" w:rsidRDefault="00D036A9" w:rsidP="00B272F7">
            <w:pPr>
              <w:jc w:val="center"/>
            </w:pPr>
            <w:r>
              <w:t>11 IMN</w:t>
            </w:r>
          </w:p>
        </w:tc>
      </w:tr>
      <w:tr w:rsidR="00D036A9" w:rsidRPr="0025376C" w:rsidTr="00B272F7">
        <w:tc>
          <w:tcPr>
            <w:tcW w:w="0" w:type="auto"/>
          </w:tcPr>
          <w:p w:rsidR="00D036A9" w:rsidRPr="0025376C" w:rsidRDefault="00D036A9" w:rsidP="00B272F7">
            <w:pPr>
              <w:jc w:val="both"/>
            </w:pPr>
            <w:r>
              <w:t>Species</w:t>
            </w:r>
          </w:p>
        </w:tc>
        <w:tc>
          <w:tcPr>
            <w:tcW w:w="0" w:type="auto"/>
          </w:tcPr>
          <w:p w:rsidR="00D036A9" w:rsidRPr="0025376C" w:rsidRDefault="00D036A9" w:rsidP="00B272F7">
            <w:pPr>
              <w:jc w:val="center"/>
            </w:pPr>
            <w:r>
              <w:t>0m</w:t>
            </w:r>
          </w:p>
        </w:tc>
        <w:tc>
          <w:tcPr>
            <w:tcW w:w="0" w:type="auto"/>
          </w:tcPr>
          <w:p w:rsidR="00D036A9" w:rsidRPr="0025376C" w:rsidRDefault="00D036A9" w:rsidP="00B272F7">
            <w:pPr>
              <w:jc w:val="center"/>
            </w:pPr>
            <w:r>
              <w:t>4m</w:t>
            </w:r>
          </w:p>
        </w:tc>
        <w:tc>
          <w:tcPr>
            <w:tcW w:w="0" w:type="auto"/>
          </w:tcPr>
          <w:p w:rsidR="00D036A9" w:rsidRPr="0025376C" w:rsidRDefault="00D036A9" w:rsidP="00B272F7">
            <w:pPr>
              <w:jc w:val="center"/>
            </w:pPr>
            <w:r>
              <w:t>8m</w:t>
            </w:r>
          </w:p>
        </w:tc>
        <w:tc>
          <w:tcPr>
            <w:tcW w:w="0" w:type="auto"/>
          </w:tcPr>
          <w:p w:rsidR="00D036A9" w:rsidRPr="0025376C" w:rsidRDefault="00D036A9" w:rsidP="00B272F7">
            <w:pPr>
              <w:jc w:val="center"/>
            </w:pPr>
            <w:r>
              <w:t>12m</w:t>
            </w:r>
          </w:p>
        </w:tc>
        <w:tc>
          <w:tcPr>
            <w:tcW w:w="0" w:type="auto"/>
          </w:tcPr>
          <w:p w:rsidR="00D036A9" w:rsidRPr="0025376C" w:rsidRDefault="00D036A9" w:rsidP="00B272F7">
            <w:pPr>
              <w:jc w:val="center"/>
            </w:pPr>
            <w:r>
              <w:t>16m</w:t>
            </w:r>
          </w:p>
        </w:tc>
        <w:tc>
          <w:tcPr>
            <w:tcW w:w="0" w:type="auto"/>
          </w:tcPr>
          <w:p w:rsidR="00D036A9" w:rsidRPr="0025376C" w:rsidRDefault="00D036A9" w:rsidP="00B272F7">
            <w:pPr>
              <w:jc w:val="center"/>
            </w:pPr>
            <w:r>
              <w:t>20m</w:t>
            </w:r>
          </w:p>
        </w:tc>
      </w:tr>
      <w:tr w:rsidR="00D036A9" w:rsidTr="00B272F7">
        <w:tc>
          <w:tcPr>
            <w:tcW w:w="0" w:type="auto"/>
          </w:tcPr>
          <w:p w:rsidR="00D036A9" w:rsidRPr="00A44247" w:rsidRDefault="00D036A9" w:rsidP="00B272F7">
            <w:pPr>
              <w:jc w:val="both"/>
              <w:rPr>
                <w:i/>
                <w:sz w:val="20"/>
                <w:szCs w:val="20"/>
              </w:rPr>
            </w:pPr>
            <w:r w:rsidRPr="00A44247">
              <w:rPr>
                <w:i/>
                <w:sz w:val="20"/>
                <w:szCs w:val="20"/>
              </w:rPr>
              <w:t>Helicella itala</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r>
      <w:tr w:rsidR="00D036A9" w:rsidRPr="0025376C" w:rsidTr="00B272F7">
        <w:tc>
          <w:tcPr>
            <w:tcW w:w="0" w:type="auto"/>
          </w:tcPr>
          <w:p w:rsidR="00D036A9" w:rsidRPr="0025376C" w:rsidRDefault="00D036A9" w:rsidP="00B272F7">
            <w:pPr>
              <w:jc w:val="both"/>
            </w:pPr>
            <w:r>
              <w:t>Total individuals</w:t>
            </w:r>
          </w:p>
        </w:tc>
        <w:tc>
          <w:tcPr>
            <w:tcW w:w="0" w:type="auto"/>
          </w:tcPr>
          <w:p w:rsidR="00D036A9" w:rsidRPr="0025376C" w:rsidRDefault="00D036A9" w:rsidP="00B272F7">
            <w:pPr>
              <w:jc w:val="center"/>
            </w:pPr>
            <w:r>
              <w:t>1</w:t>
            </w: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c>
          <w:tcPr>
            <w:tcW w:w="0" w:type="auto"/>
          </w:tcPr>
          <w:p w:rsidR="00D036A9" w:rsidRPr="0025376C" w:rsidRDefault="00D036A9" w:rsidP="00B272F7">
            <w:pPr>
              <w:jc w:val="center"/>
            </w:pPr>
          </w:p>
        </w:tc>
      </w:tr>
      <w:tr w:rsidR="00D036A9" w:rsidTr="00B272F7">
        <w:trPr>
          <w:trHeight w:val="346"/>
        </w:trPr>
        <w:tc>
          <w:tcPr>
            <w:tcW w:w="0" w:type="auto"/>
          </w:tcPr>
          <w:p w:rsidR="00D036A9" w:rsidRPr="0025376C" w:rsidRDefault="00D036A9" w:rsidP="00B272F7">
            <w:pPr>
              <w:jc w:val="both"/>
            </w:pPr>
            <w:r>
              <w:t>Total species</w:t>
            </w:r>
          </w:p>
        </w:tc>
        <w:tc>
          <w:tcPr>
            <w:tcW w:w="0" w:type="auto"/>
          </w:tcPr>
          <w:p w:rsidR="00D036A9" w:rsidRPr="0025376C" w:rsidRDefault="00D036A9" w:rsidP="00B272F7">
            <w:pPr>
              <w:jc w:val="center"/>
            </w:pPr>
            <w:r>
              <w:t>1</w:t>
            </w: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c>
          <w:tcPr>
            <w:tcW w:w="0" w:type="auto"/>
          </w:tcPr>
          <w:p w:rsidR="00D036A9" w:rsidRPr="0025376C" w:rsidRDefault="00D036A9" w:rsidP="00B272F7">
            <w:pPr>
              <w:jc w:val="center"/>
            </w:pPr>
          </w:p>
        </w:tc>
        <w:tc>
          <w:tcPr>
            <w:tcW w:w="0" w:type="auto"/>
          </w:tcPr>
          <w:p w:rsidR="00D036A9" w:rsidRDefault="00D036A9" w:rsidP="00B272F7">
            <w:pPr>
              <w:jc w:val="center"/>
            </w:pPr>
          </w:p>
        </w:tc>
      </w:tr>
    </w:tbl>
    <w:p w:rsidR="00D036A9" w:rsidRDefault="00D036A9" w:rsidP="00D036A9">
      <w:pPr>
        <w:rPr>
          <w:b/>
          <w:sz w:val="28"/>
        </w:rPr>
      </w:pPr>
    </w:p>
    <w:p w:rsidR="00D036A9" w:rsidRDefault="00D036A9" w:rsidP="00D036A9">
      <w:pPr>
        <w:rPr>
          <w:b/>
          <w:sz w:val="28"/>
        </w:rPr>
      </w:pPr>
    </w:p>
    <w:p w:rsidR="00D036A9" w:rsidRDefault="00D036A9" w:rsidP="00D036A9">
      <w:pPr>
        <w:rPr>
          <w:b/>
        </w:rPr>
      </w:pPr>
      <w:r>
        <w:rPr>
          <w:b/>
        </w:rPr>
        <w:br w:type="page"/>
      </w:r>
    </w:p>
    <w:p w:rsidR="00D036A9" w:rsidRPr="0095468D" w:rsidRDefault="00D036A9" w:rsidP="00D036A9">
      <w:pPr>
        <w:rPr>
          <w:rFonts w:ascii="Times New Roman" w:hAnsi="Times New Roman"/>
          <w:b/>
        </w:rPr>
      </w:pPr>
      <w:r w:rsidRPr="00CC7B92">
        <w:rPr>
          <w:b/>
        </w:rPr>
        <w:lastRenderedPageBreak/>
        <w:t xml:space="preserve">Table </w:t>
      </w:r>
      <w:r>
        <w:rPr>
          <w:b/>
        </w:rPr>
        <w:t>3.3</w:t>
      </w:r>
      <w:r w:rsidRPr="00CC7B92">
        <w:rPr>
          <w:b/>
        </w:rPr>
        <w:t xml:space="preserve"> </w:t>
      </w:r>
      <w:r>
        <w:rPr>
          <w:b/>
        </w:rPr>
        <w:t>Results of the quantitative study in the 11 plots.</w:t>
      </w:r>
      <w:r w:rsidRPr="008058BA">
        <w:rPr>
          <w:rFonts w:ascii="Times New Roman" w:hAnsi="Times New Roman"/>
          <w:b/>
        </w:rPr>
        <w:t xml:space="preserve"> Species follow the nomenclature of Anderson (2005)</w:t>
      </w:r>
      <w:r>
        <w:rPr>
          <w:rFonts w:ascii="Times New Roman" w:hAnsi="Times New Roman"/>
          <w:b/>
        </w:rPr>
        <w:t>.</w:t>
      </w:r>
      <w:r w:rsidRPr="008058BA">
        <w:rPr>
          <w:rFonts w:ascii="Times New Roman" w:hAnsi="Times New Roman"/>
          <w:b/>
        </w:rPr>
        <w:t xml:space="preserve"> </w:t>
      </w:r>
    </w:p>
    <w:p w:rsidR="00D036A9" w:rsidRPr="0095468D" w:rsidRDefault="00D036A9" w:rsidP="00D036A9">
      <w:pPr>
        <w:spacing w:before="100" w:beforeAutospacing="1"/>
        <w:ind w:right="-1"/>
        <w:jc w:val="both"/>
        <w:rPr>
          <w:rFonts w:ascii="Times New Roman" w:hAnsi="Times New Roman"/>
          <w:sz w:val="16"/>
        </w:rPr>
      </w:pPr>
    </w:p>
    <w:tbl>
      <w:tblPr>
        <w:tblStyle w:val="TableGrid1"/>
        <w:tblW w:w="10103" w:type="dxa"/>
        <w:tblInd w:w="-72" w:type="dxa"/>
        <w:tblLayout w:type="fixed"/>
        <w:tblLook w:val="00A0" w:firstRow="1" w:lastRow="0" w:firstColumn="1" w:lastColumn="0" w:noHBand="0" w:noVBand="0"/>
      </w:tblPr>
      <w:tblGrid>
        <w:gridCol w:w="1456"/>
        <w:gridCol w:w="992"/>
        <w:gridCol w:w="1134"/>
        <w:gridCol w:w="1134"/>
        <w:gridCol w:w="993"/>
        <w:gridCol w:w="992"/>
        <w:gridCol w:w="1134"/>
        <w:gridCol w:w="1134"/>
        <w:gridCol w:w="1134"/>
      </w:tblGrid>
      <w:tr w:rsidR="00D036A9" w:rsidRPr="0095468D"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SPECIES</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1</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R41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R42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R43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993"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R44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2</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R33 IMR</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R34 IMR</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R35 IMR</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R36 IMR</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Cochlicopa lubricella</w:t>
            </w: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993" w:type="dxa"/>
          </w:tcPr>
          <w:p w:rsidR="00D036A9" w:rsidRPr="0095468D" w:rsidRDefault="00D036A9" w:rsidP="00B272F7">
            <w:pPr>
              <w:rPr>
                <w:rFonts w:ascii="Times New Roman" w:hAnsi="Times New Roman"/>
                <w:i/>
                <w:sz w:val="16"/>
                <w:szCs w:val="16"/>
              </w:rPr>
            </w:pP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Vallonia excentrica</w:t>
            </w: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c>
          <w:tcPr>
            <w:tcW w:w="993" w:type="dxa"/>
          </w:tcPr>
          <w:p w:rsidR="00D036A9" w:rsidRPr="0095468D" w:rsidRDefault="00D036A9" w:rsidP="00B272F7">
            <w:pPr>
              <w:rPr>
                <w:rFonts w:ascii="Times New Roman" w:hAnsi="Times New Roman"/>
                <w:i/>
                <w:sz w:val="16"/>
                <w:szCs w:val="16"/>
              </w:rPr>
            </w:pP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c>
          <w:tcPr>
            <w:tcW w:w="1134" w:type="dxa"/>
          </w:tcPr>
          <w:p w:rsidR="00D036A9" w:rsidRPr="0095468D" w:rsidRDefault="00D036A9" w:rsidP="00B272F7">
            <w:pPr>
              <w:rPr>
                <w:rFonts w:ascii="Times New Roman" w:hAnsi="Times New Roman"/>
                <w:i/>
                <w:sz w:val="16"/>
                <w:szCs w:val="16"/>
              </w:rPr>
            </w:pPr>
          </w:p>
        </w:tc>
        <w:tc>
          <w:tcPr>
            <w:tcW w:w="993"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5</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6</w:t>
            </w: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3</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r>
      <w:tr w:rsidR="00D036A9" w:rsidRPr="0095468D" w:rsidTr="00B272F7">
        <w:trPr>
          <w:trHeight w:val="284"/>
        </w:trPr>
        <w:tc>
          <w:tcPr>
            <w:tcW w:w="1456" w:type="dxa"/>
            <w:vAlign w:val="center"/>
          </w:tcPr>
          <w:p w:rsidR="00D036A9" w:rsidRPr="004D3DAB" w:rsidRDefault="00D036A9" w:rsidP="00B272F7">
            <w:pPr>
              <w:rPr>
                <w:rFonts w:ascii="Times New Roman" w:hAnsi="Times New Roman"/>
                <w:i/>
                <w:sz w:val="16"/>
                <w:szCs w:val="16"/>
              </w:rPr>
            </w:pPr>
            <w:r>
              <w:rPr>
                <w:rFonts w:ascii="Times New Roman" w:hAnsi="Times New Roman"/>
                <w:i/>
                <w:sz w:val="16"/>
                <w:szCs w:val="16"/>
              </w:rPr>
              <w:t>Candidula intersecta</w:t>
            </w:r>
          </w:p>
        </w:tc>
        <w:tc>
          <w:tcPr>
            <w:tcW w:w="992" w:type="dxa"/>
          </w:tcPr>
          <w:p w:rsidR="00D036A9" w:rsidRDefault="00D036A9" w:rsidP="00B272F7">
            <w:pPr>
              <w:rPr>
                <w:rFonts w:ascii="Times New Roman" w:hAnsi="Times New Roman"/>
                <w:i/>
                <w:sz w:val="16"/>
                <w:szCs w:val="16"/>
              </w:rPr>
            </w:pPr>
          </w:p>
        </w:tc>
        <w:tc>
          <w:tcPr>
            <w:tcW w:w="1134" w:type="dxa"/>
          </w:tcPr>
          <w:p w:rsidR="00D036A9"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993" w:type="dxa"/>
          </w:tcPr>
          <w:p w:rsidR="00D036A9" w:rsidRDefault="00D036A9" w:rsidP="00B272F7">
            <w:pPr>
              <w:rPr>
                <w:rFonts w:ascii="Times New Roman" w:hAnsi="Times New Roman"/>
                <w:i/>
                <w:sz w:val="16"/>
                <w:szCs w:val="16"/>
              </w:rPr>
            </w:pPr>
          </w:p>
        </w:tc>
        <w:tc>
          <w:tcPr>
            <w:tcW w:w="992" w:type="dxa"/>
          </w:tcPr>
          <w:p w:rsidR="00D036A9" w:rsidRDefault="00D036A9" w:rsidP="00B272F7">
            <w:pPr>
              <w:rPr>
                <w:rFonts w:ascii="Times New Roman" w:hAnsi="Times New Roman"/>
                <w:i/>
                <w:sz w:val="16"/>
                <w:szCs w:val="16"/>
              </w:rPr>
            </w:pPr>
          </w:p>
        </w:tc>
        <w:tc>
          <w:tcPr>
            <w:tcW w:w="1134" w:type="dxa"/>
          </w:tcPr>
          <w:p w:rsidR="00D036A9" w:rsidRDefault="00D036A9" w:rsidP="00B272F7">
            <w:pPr>
              <w:rPr>
                <w:rFonts w:ascii="Times New Roman" w:hAnsi="Times New Roman"/>
                <w:i/>
                <w:sz w:val="16"/>
                <w:szCs w:val="16"/>
              </w:rPr>
            </w:pPr>
          </w:p>
        </w:tc>
        <w:tc>
          <w:tcPr>
            <w:tcW w:w="1134" w:type="dxa"/>
          </w:tcPr>
          <w:p w:rsidR="00D036A9" w:rsidRDefault="00D036A9" w:rsidP="00B272F7">
            <w:pPr>
              <w:rPr>
                <w:rFonts w:ascii="Times New Roman" w:hAnsi="Times New Roman"/>
                <w:i/>
                <w:sz w:val="16"/>
                <w:szCs w:val="16"/>
              </w:rPr>
            </w:pPr>
          </w:p>
        </w:tc>
        <w:tc>
          <w:tcPr>
            <w:tcW w:w="1134" w:type="dxa"/>
          </w:tcPr>
          <w:p w:rsidR="00D036A9" w:rsidRDefault="00D036A9" w:rsidP="00B272F7">
            <w:pPr>
              <w:rPr>
                <w:rFonts w:ascii="Times New Roman" w:hAnsi="Times New Roman"/>
                <w:i/>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5</w:t>
            </w: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6</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r>
    </w:tbl>
    <w:p w:rsidR="00D036A9" w:rsidRPr="0095468D" w:rsidRDefault="00D036A9" w:rsidP="00D036A9">
      <w:pPr>
        <w:jc w:val="both"/>
        <w:rPr>
          <w:rFonts w:ascii="Times New Roman" w:hAnsi="Times New Roman"/>
          <w:sz w:val="16"/>
        </w:rPr>
      </w:pPr>
      <w:r w:rsidRPr="0095468D">
        <w:rPr>
          <w:rFonts w:ascii="Times New Roman" w:hAnsi="Times New Roman"/>
          <w:sz w:val="16"/>
        </w:rPr>
        <w:t xml:space="preserve"> </w:t>
      </w:r>
    </w:p>
    <w:tbl>
      <w:tblPr>
        <w:tblStyle w:val="TableGrid1"/>
        <w:tblW w:w="10103" w:type="dxa"/>
        <w:tblInd w:w="-72" w:type="dxa"/>
        <w:tblLayout w:type="fixed"/>
        <w:tblLook w:val="00A0" w:firstRow="1" w:lastRow="0" w:firstColumn="1" w:lastColumn="0" w:noHBand="0" w:noVBand="0"/>
      </w:tblPr>
      <w:tblGrid>
        <w:gridCol w:w="1456"/>
        <w:gridCol w:w="992"/>
        <w:gridCol w:w="1134"/>
        <w:gridCol w:w="1134"/>
        <w:gridCol w:w="993"/>
        <w:gridCol w:w="992"/>
        <w:gridCol w:w="1134"/>
        <w:gridCol w:w="1134"/>
        <w:gridCol w:w="1134"/>
      </w:tblGrid>
      <w:tr w:rsidR="00D036A9" w:rsidRPr="0095468D"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SPECIES</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3</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R37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R38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R39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993"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R40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4</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R41 IMR</w:t>
            </w:r>
          </w:p>
          <w:p w:rsidR="00D036A9" w:rsidRDefault="00D036A9" w:rsidP="00B272F7">
            <w:pPr>
              <w:rPr>
                <w:rFonts w:ascii="Times New Roman" w:hAnsi="Times New Roman"/>
                <w:b/>
                <w:sz w:val="16"/>
                <w:szCs w:val="16"/>
              </w:rPr>
            </w:pPr>
            <w:r>
              <w:rPr>
                <w:rFonts w:ascii="Times New Roman" w:hAnsi="Times New Roman"/>
                <w:b/>
                <w:sz w:val="16"/>
                <w:szCs w:val="16"/>
              </w:rPr>
              <w:t xml:space="preserve"> </w:t>
            </w:r>
          </w:p>
          <w:p w:rsidR="00D036A9"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R43 IMR</w:t>
            </w:r>
          </w:p>
          <w:p w:rsidR="00D036A9" w:rsidRDefault="00D036A9" w:rsidP="00B272F7">
            <w:pPr>
              <w:rPr>
                <w:rFonts w:ascii="Times New Roman" w:hAnsi="Times New Roman"/>
                <w:b/>
                <w:sz w:val="16"/>
                <w:szCs w:val="16"/>
              </w:rPr>
            </w:pPr>
            <w:r>
              <w:rPr>
                <w:rFonts w:ascii="Times New Roman" w:hAnsi="Times New Roman"/>
                <w:b/>
                <w:sz w:val="16"/>
                <w:szCs w:val="16"/>
              </w:rPr>
              <w:t xml:space="preserve"> </w:t>
            </w: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R44 IMR</w:t>
            </w:r>
          </w:p>
          <w:p w:rsidR="00D036A9" w:rsidRDefault="00D036A9" w:rsidP="00B272F7">
            <w:pPr>
              <w:rPr>
                <w:rFonts w:ascii="Times New Roman" w:hAnsi="Times New Roman"/>
                <w:b/>
                <w:sz w:val="16"/>
                <w:szCs w:val="16"/>
              </w:rPr>
            </w:pPr>
            <w:r>
              <w:rPr>
                <w:rFonts w:ascii="Times New Roman" w:hAnsi="Times New Roman"/>
                <w:b/>
                <w:sz w:val="16"/>
                <w:szCs w:val="16"/>
              </w:rPr>
              <w:t xml:space="preserve"> </w:t>
            </w: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R42 IMR</w:t>
            </w:r>
          </w:p>
          <w:p w:rsidR="00D036A9" w:rsidRDefault="00D036A9" w:rsidP="00B272F7">
            <w:pPr>
              <w:rPr>
                <w:rFonts w:ascii="Times New Roman" w:hAnsi="Times New Roman"/>
                <w:b/>
                <w:sz w:val="16"/>
                <w:szCs w:val="16"/>
              </w:rPr>
            </w:pPr>
            <w:r>
              <w:rPr>
                <w:rFonts w:ascii="Times New Roman" w:hAnsi="Times New Roman"/>
                <w:b/>
                <w:sz w:val="16"/>
                <w:szCs w:val="16"/>
              </w:rPr>
              <w:t xml:space="preserve"> </w:t>
            </w:r>
          </w:p>
          <w:p w:rsidR="00D036A9" w:rsidRDefault="00D036A9" w:rsidP="00B272F7">
            <w:pPr>
              <w:rPr>
                <w:rFonts w:ascii="Times New Roman" w:hAnsi="Times New Roman"/>
                <w:b/>
                <w:sz w:val="16"/>
                <w:szCs w:val="16"/>
              </w:rPr>
            </w:pPr>
            <w:r>
              <w:rPr>
                <w:rFonts w:ascii="Times New Roman" w:hAnsi="Times New Roman"/>
                <w:b/>
                <w:sz w:val="16"/>
                <w:szCs w:val="16"/>
              </w:rPr>
              <w:t>Control</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992"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i/>
                <w:sz w:val="16"/>
                <w:szCs w:val="16"/>
              </w:rPr>
            </w:pPr>
          </w:p>
        </w:tc>
        <w:tc>
          <w:tcPr>
            <w:tcW w:w="993" w:type="dxa"/>
          </w:tcPr>
          <w:p w:rsidR="00D036A9" w:rsidRPr="00950C22" w:rsidRDefault="00D036A9" w:rsidP="00B272F7">
            <w:pPr>
              <w:rPr>
                <w:rFonts w:ascii="Times New Roman" w:hAnsi="Times New Roman"/>
                <w:b/>
                <w:sz w:val="16"/>
                <w:szCs w:val="16"/>
              </w:rPr>
            </w:pPr>
          </w:p>
        </w:tc>
        <w:tc>
          <w:tcPr>
            <w:tcW w:w="992" w:type="dxa"/>
          </w:tcPr>
          <w:p w:rsidR="00D036A9" w:rsidRPr="00950C22" w:rsidRDefault="00D036A9" w:rsidP="00B272F7">
            <w:pPr>
              <w:rPr>
                <w:rFonts w:ascii="Times New Roman" w:hAnsi="Times New Roman"/>
                <w:b/>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r>
    </w:tbl>
    <w:p w:rsidR="00D036A9" w:rsidRPr="0095468D" w:rsidRDefault="00D036A9" w:rsidP="00D036A9">
      <w:pPr>
        <w:pStyle w:val="Header"/>
        <w:spacing w:before="100" w:beforeAutospacing="1"/>
        <w:ind w:right="-1"/>
        <w:jc w:val="both"/>
        <w:rPr>
          <w:rFonts w:ascii="Times New Roman" w:hAnsi="Times New Roman"/>
          <w:lang w:val="en-GB"/>
        </w:rPr>
      </w:pPr>
    </w:p>
    <w:tbl>
      <w:tblPr>
        <w:tblStyle w:val="TableGrid1"/>
        <w:tblW w:w="10103" w:type="dxa"/>
        <w:tblInd w:w="-72" w:type="dxa"/>
        <w:tblLayout w:type="fixed"/>
        <w:tblLook w:val="00A0" w:firstRow="1" w:lastRow="0" w:firstColumn="1" w:lastColumn="0" w:noHBand="0" w:noVBand="0"/>
      </w:tblPr>
      <w:tblGrid>
        <w:gridCol w:w="1456"/>
        <w:gridCol w:w="992"/>
        <w:gridCol w:w="1134"/>
        <w:gridCol w:w="1134"/>
        <w:gridCol w:w="993"/>
        <w:gridCol w:w="992"/>
        <w:gridCol w:w="1134"/>
        <w:gridCol w:w="1134"/>
        <w:gridCol w:w="1134"/>
      </w:tblGrid>
      <w:tr w:rsidR="00D036A9" w:rsidRPr="0095468D"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SPECIES</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5</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R51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0 M</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4 M</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993"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8 M</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992"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12 M</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16 M</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20 M</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R52 IMR</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Cochlicopa lubricella</w:t>
            </w: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5</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2</w:t>
            </w:r>
          </w:p>
        </w:tc>
        <w:tc>
          <w:tcPr>
            <w:tcW w:w="993" w:type="dxa"/>
          </w:tcPr>
          <w:p w:rsidR="00D036A9" w:rsidRPr="0095468D" w:rsidRDefault="00D036A9" w:rsidP="00B272F7">
            <w:pPr>
              <w:rPr>
                <w:rFonts w:ascii="Times New Roman" w:hAnsi="Times New Roman"/>
                <w:i/>
                <w:sz w:val="16"/>
                <w:szCs w:val="16"/>
              </w:rPr>
            </w:pP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3</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3</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Vitrea contracta</w:t>
            </w: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993" w:type="dxa"/>
          </w:tcPr>
          <w:p w:rsidR="00D036A9" w:rsidRPr="00950C22" w:rsidRDefault="00D036A9" w:rsidP="00B272F7">
            <w:pPr>
              <w:rPr>
                <w:rFonts w:ascii="Times New Roman" w:hAnsi="Times New Roman"/>
                <w:b/>
                <w:sz w:val="16"/>
                <w:szCs w:val="16"/>
              </w:rPr>
            </w:pP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992"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p>
        </w:tc>
        <w:tc>
          <w:tcPr>
            <w:tcW w:w="1134" w:type="dxa"/>
          </w:tcPr>
          <w:p w:rsidR="00D036A9" w:rsidRPr="0095468D" w:rsidRDefault="00D036A9" w:rsidP="00B272F7">
            <w:pPr>
              <w:rPr>
                <w:rFonts w:ascii="Times New Roman" w:hAnsi="Times New Roman"/>
                <w:i/>
                <w:sz w:val="16"/>
                <w:szCs w:val="16"/>
              </w:rPr>
            </w:pPr>
          </w:p>
        </w:tc>
        <w:tc>
          <w:tcPr>
            <w:tcW w:w="993"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c>
          <w:tcPr>
            <w:tcW w:w="992" w:type="dxa"/>
          </w:tcPr>
          <w:p w:rsidR="00D036A9" w:rsidRPr="00950C22" w:rsidRDefault="00D036A9" w:rsidP="00B272F7">
            <w:pPr>
              <w:rPr>
                <w:rFonts w:ascii="Times New Roman" w:hAnsi="Times New Roman"/>
                <w:b/>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7</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5</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r>
    </w:tbl>
    <w:p w:rsidR="00D036A9" w:rsidRPr="0095468D" w:rsidRDefault="00D036A9" w:rsidP="00D036A9">
      <w:pPr>
        <w:pStyle w:val="Header"/>
        <w:spacing w:before="100" w:beforeAutospacing="1"/>
        <w:ind w:right="-1"/>
        <w:jc w:val="both"/>
        <w:rPr>
          <w:rFonts w:ascii="Times New Roman" w:hAnsi="Times New Roman"/>
          <w:lang w:val="en-GB"/>
        </w:rPr>
      </w:pPr>
    </w:p>
    <w:tbl>
      <w:tblPr>
        <w:tblStyle w:val="TableGrid1"/>
        <w:tblW w:w="10103" w:type="dxa"/>
        <w:tblInd w:w="-72" w:type="dxa"/>
        <w:tblLayout w:type="fixed"/>
        <w:tblLook w:val="00A0" w:firstRow="1" w:lastRow="0" w:firstColumn="1" w:lastColumn="0" w:noHBand="0" w:noVBand="0"/>
      </w:tblPr>
      <w:tblGrid>
        <w:gridCol w:w="1456"/>
        <w:gridCol w:w="992"/>
        <w:gridCol w:w="1134"/>
        <w:gridCol w:w="1134"/>
        <w:gridCol w:w="993"/>
        <w:gridCol w:w="992"/>
        <w:gridCol w:w="1134"/>
        <w:gridCol w:w="1134"/>
        <w:gridCol w:w="1134"/>
      </w:tblGrid>
      <w:tr w:rsidR="00D036A9" w:rsidRPr="0095468D"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SPECIES</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6</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R61 IMR</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0 M</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4 M</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993"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8 M</w:t>
            </w: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2"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12 M</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16 M</w:t>
            </w: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20 M</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R62 IMR</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Cochlicopa lubricella</w:t>
            </w: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3</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r>
              <w:rPr>
                <w:rFonts w:ascii="Times New Roman" w:hAnsi="Times New Roman"/>
                <w:b/>
                <w:sz w:val="16"/>
                <w:szCs w:val="16"/>
              </w:rPr>
              <w:t>9</w:t>
            </w:r>
          </w:p>
        </w:tc>
        <w:tc>
          <w:tcPr>
            <w:tcW w:w="993"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18</w:t>
            </w: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26</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22</w:t>
            </w: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14</w:t>
            </w:r>
          </w:p>
        </w:tc>
        <w:tc>
          <w:tcPr>
            <w:tcW w:w="1134" w:type="dxa"/>
          </w:tcPr>
          <w:p w:rsidR="00D036A9" w:rsidRPr="00C8017C" w:rsidRDefault="00D036A9" w:rsidP="00B272F7">
            <w:pPr>
              <w:rPr>
                <w:rFonts w:ascii="Times New Roman" w:hAnsi="Times New Roman"/>
                <w:b/>
                <w:sz w:val="16"/>
                <w:szCs w:val="16"/>
              </w:rPr>
            </w:pPr>
            <w:r w:rsidRPr="00C8017C">
              <w:rPr>
                <w:rFonts w:ascii="Times New Roman" w:hAnsi="Times New Roman"/>
                <w:b/>
                <w:sz w:val="16"/>
                <w:szCs w:val="16"/>
              </w:rPr>
              <w:t>3</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0C22" w:rsidRDefault="00D036A9" w:rsidP="00B272F7">
            <w:pPr>
              <w:rPr>
                <w:rFonts w:ascii="Times New Roman" w:hAnsi="Times New Roman"/>
                <w:b/>
                <w:sz w:val="16"/>
                <w:szCs w:val="16"/>
              </w:rPr>
            </w:pPr>
          </w:p>
        </w:tc>
        <w:tc>
          <w:tcPr>
            <w:tcW w:w="1134" w:type="dxa"/>
          </w:tcPr>
          <w:p w:rsidR="00D036A9" w:rsidRPr="0095468D" w:rsidRDefault="00D036A9" w:rsidP="00B272F7">
            <w:pPr>
              <w:rPr>
                <w:rFonts w:ascii="Times New Roman" w:hAnsi="Times New Roman"/>
                <w:i/>
                <w:sz w:val="16"/>
                <w:szCs w:val="16"/>
              </w:rPr>
            </w:pPr>
          </w:p>
        </w:tc>
        <w:tc>
          <w:tcPr>
            <w:tcW w:w="993" w:type="dxa"/>
          </w:tcPr>
          <w:p w:rsidR="00D036A9" w:rsidRPr="00950C22" w:rsidRDefault="00D036A9" w:rsidP="00B272F7">
            <w:pPr>
              <w:rPr>
                <w:rFonts w:ascii="Times New Roman" w:hAnsi="Times New Roman"/>
                <w:b/>
                <w:sz w:val="16"/>
                <w:szCs w:val="16"/>
              </w:rPr>
            </w:pPr>
          </w:p>
        </w:tc>
        <w:tc>
          <w:tcPr>
            <w:tcW w:w="992"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1134"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19</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18</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26</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23</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14</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6</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r>
    </w:tbl>
    <w:p w:rsidR="00D036A9" w:rsidRDefault="00D036A9" w:rsidP="00D036A9">
      <w:r>
        <w:br w:type="page"/>
      </w:r>
    </w:p>
    <w:tbl>
      <w:tblPr>
        <w:tblStyle w:val="TableGrid1"/>
        <w:tblW w:w="6701" w:type="dxa"/>
        <w:tblInd w:w="-72" w:type="dxa"/>
        <w:tblLayout w:type="fixed"/>
        <w:tblLook w:val="00A0" w:firstRow="1" w:lastRow="0" w:firstColumn="1" w:lastColumn="0" w:noHBand="0" w:noVBand="0"/>
      </w:tblPr>
      <w:tblGrid>
        <w:gridCol w:w="1456"/>
        <w:gridCol w:w="992"/>
        <w:gridCol w:w="1134"/>
        <w:gridCol w:w="1134"/>
        <w:gridCol w:w="993"/>
        <w:gridCol w:w="992"/>
      </w:tblGrid>
      <w:tr w:rsidR="00D036A9" w:rsidRPr="0095468D"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lastRenderedPageBreak/>
              <w:t>SPECIES</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7</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R19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R20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R21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3"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R22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2"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R23 IMN</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Cochlicopa lubricella</w:t>
            </w: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p>
        </w:tc>
        <w:tc>
          <w:tcPr>
            <w:tcW w:w="993" w:type="dxa"/>
          </w:tcPr>
          <w:p w:rsidR="00D036A9" w:rsidRPr="0095468D" w:rsidRDefault="00D036A9" w:rsidP="00B272F7">
            <w:pPr>
              <w:rPr>
                <w:rFonts w:ascii="Times New Roman" w:hAnsi="Times New Roman"/>
                <w:i/>
                <w:sz w:val="16"/>
                <w:szCs w:val="16"/>
              </w:rPr>
            </w:pP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Vitrea contracta</w:t>
            </w: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993" w:type="dxa"/>
          </w:tcPr>
          <w:p w:rsidR="00D036A9" w:rsidRPr="0095468D" w:rsidRDefault="00D036A9" w:rsidP="00B272F7">
            <w:pPr>
              <w:rPr>
                <w:rFonts w:ascii="Times New Roman" w:hAnsi="Times New Roman"/>
                <w:i/>
                <w:sz w:val="16"/>
                <w:szCs w:val="16"/>
              </w:rPr>
            </w:pPr>
          </w:p>
        </w:tc>
        <w:tc>
          <w:tcPr>
            <w:tcW w:w="992"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992"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1</w:t>
            </w:r>
          </w:p>
        </w:tc>
        <w:tc>
          <w:tcPr>
            <w:tcW w:w="993" w:type="dxa"/>
          </w:tcPr>
          <w:p w:rsidR="00D036A9" w:rsidRPr="00950C22" w:rsidRDefault="00D036A9" w:rsidP="00B272F7">
            <w:pPr>
              <w:rPr>
                <w:rFonts w:ascii="Times New Roman" w:hAnsi="Times New Roman"/>
                <w:b/>
                <w:sz w:val="16"/>
                <w:szCs w:val="16"/>
              </w:rPr>
            </w:pPr>
          </w:p>
        </w:tc>
        <w:tc>
          <w:tcPr>
            <w:tcW w:w="992" w:type="dxa"/>
          </w:tcPr>
          <w:p w:rsidR="00D036A9" w:rsidRPr="00950C22" w:rsidRDefault="00D036A9" w:rsidP="00B272F7">
            <w:pPr>
              <w:rPr>
                <w:rFonts w:ascii="Times New Roman" w:hAnsi="Times New Roman"/>
                <w:b/>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r>
    </w:tbl>
    <w:p w:rsidR="00D036A9" w:rsidRPr="0095468D" w:rsidRDefault="00D036A9" w:rsidP="00D036A9">
      <w:pPr>
        <w:pStyle w:val="Header"/>
        <w:spacing w:before="100" w:beforeAutospacing="1"/>
        <w:ind w:right="-1"/>
        <w:jc w:val="both"/>
        <w:rPr>
          <w:rFonts w:ascii="Times New Roman" w:hAnsi="Times New Roman"/>
          <w:lang w:val="en-GB"/>
        </w:rPr>
      </w:pPr>
    </w:p>
    <w:tbl>
      <w:tblPr>
        <w:tblStyle w:val="TableGrid1"/>
        <w:tblW w:w="10103" w:type="dxa"/>
        <w:tblInd w:w="-72" w:type="dxa"/>
        <w:tblLayout w:type="fixed"/>
        <w:tblLook w:val="00A0" w:firstRow="1" w:lastRow="0" w:firstColumn="1" w:lastColumn="0" w:noHBand="0" w:noVBand="0"/>
      </w:tblPr>
      <w:tblGrid>
        <w:gridCol w:w="1456"/>
        <w:gridCol w:w="992"/>
        <w:gridCol w:w="1134"/>
        <w:gridCol w:w="993"/>
        <w:gridCol w:w="992"/>
        <w:gridCol w:w="992"/>
        <w:gridCol w:w="1134"/>
        <w:gridCol w:w="1134"/>
        <w:gridCol w:w="1276"/>
      </w:tblGrid>
      <w:tr w:rsidR="00D036A9" w:rsidRPr="0095468D"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SPECIES</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8</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R28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R29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993"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R30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2"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R31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9</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R32 IMN</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R32(b) IMN</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R33 IMN</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c>
          <w:tcPr>
            <w:tcW w:w="1276"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R33(b) IMN</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c>
          <w:tcPr>
            <w:tcW w:w="993"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2</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5</w:t>
            </w:r>
          </w:p>
        </w:tc>
        <w:tc>
          <w:tcPr>
            <w:tcW w:w="992" w:type="dxa"/>
          </w:tcPr>
          <w:p w:rsidR="00D036A9" w:rsidRPr="00950C22" w:rsidRDefault="00D036A9" w:rsidP="00B272F7">
            <w:pPr>
              <w:rPr>
                <w:rFonts w:ascii="Times New Roman" w:hAnsi="Times New Roman"/>
                <w:b/>
                <w:sz w:val="16"/>
                <w:szCs w:val="16"/>
              </w:rPr>
            </w:pP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4</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2</w:t>
            </w:r>
          </w:p>
        </w:tc>
        <w:tc>
          <w:tcPr>
            <w:tcW w:w="1276"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5</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276"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0</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276"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r>
    </w:tbl>
    <w:p w:rsidR="00D036A9" w:rsidRDefault="00D036A9" w:rsidP="00D036A9">
      <w:pPr>
        <w:rPr>
          <w:b/>
          <w:sz w:val="28"/>
        </w:rPr>
      </w:pPr>
    </w:p>
    <w:tbl>
      <w:tblPr>
        <w:tblStyle w:val="TableGrid1"/>
        <w:tblW w:w="8118" w:type="dxa"/>
        <w:tblInd w:w="-72" w:type="dxa"/>
        <w:tblLayout w:type="fixed"/>
        <w:tblLook w:val="00A0" w:firstRow="1" w:lastRow="0" w:firstColumn="1" w:lastColumn="0" w:noHBand="0" w:noVBand="0"/>
      </w:tblPr>
      <w:tblGrid>
        <w:gridCol w:w="1456"/>
        <w:gridCol w:w="992"/>
        <w:gridCol w:w="1134"/>
        <w:gridCol w:w="993"/>
        <w:gridCol w:w="1134"/>
        <w:gridCol w:w="1134"/>
        <w:gridCol w:w="1275"/>
      </w:tblGrid>
      <w:tr w:rsidR="00D036A9" w:rsidRPr="0095468D"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SPECIES</w:t>
            </w:r>
          </w:p>
        </w:tc>
        <w:tc>
          <w:tcPr>
            <w:tcW w:w="992" w:type="dxa"/>
          </w:tcPr>
          <w:p w:rsidR="00D036A9" w:rsidRDefault="00D036A9" w:rsidP="00B272F7">
            <w:pPr>
              <w:rPr>
                <w:rFonts w:ascii="Times New Roman" w:hAnsi="Times New Roman"/>
                <w:b/>
                <w:sz w:val="16"/>
                <w:szCs w:val="16"/>
              </w:rPr>
            </w:pPr>
            <w:r>
              <w:rPr>
                <w:rFonts w:ascii="Times New Roman" w:hAnsi="Times New Roman"/>
                <w:b/>
                <w:sz w:val="16"/>
                <w:szCs w:val="16"/>
              </w:rPr>
              <w:t>PLOT 10</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R34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R34(b)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Control</w:t>
            </w:r>
          </w:p>
        </w:tc>
        <w:tc>
          <w:tcPr>
            <w:tcW w:w="993"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R35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R35(b) IMN</w:t>
            </w:r>
          </w:p>
          <w:p w:rsidR="00D036A9" w:rsidRDefault="00D036A9" w:rsidP="00B272F7">
            <w:pPr>
              <w:rPr>
                <w:rFonts w:ascii="Times New Roman" w:hAnsi="Times New Roman"/>
                <w:b/>
                <w:sz w:val="16"/>
                <w:szCs w:val="16"/>
              </w:rPr>
            </w:pPr>
          </w:p>
          <w:p w:rsidR="00D036A9" w:rsidRPr="0095468D" w:rsidRDefault="00D036A9" w:rsidP="00B272F7">
            <w:pPr>
              <w:rPr>
                <w:rFonts w:ascii="Times New Roman" w:hAnsi="Times New Roman"/>
                <w:b/>
                <w:sz w:val="16"/>
                <w:szCs w:val="16"/>
              </w:rPr>
            </w:pPr>
            <w:r>
              <w:rPr>
                <w:rFonts w:ascii="Times New Roman" w:hAnsi="Times New Roman"/>
                <w:b/>
                <w:sz w:val="16"/>
                <w:szCs w:val="16"/>
              </w:rPr>
              <w:t>Within plot</w:t>
            </w:r>
          </w:p>
        </w:tc>
        <w:tc>
          <w:tcPr>
            <w:tcW w:w="1134" w:type="dxa"/>
          </w:tcPr>
          <w:p w:rsidR="00D036A9" w:rsidRDefault="00D036A9" w:rsidP="00B272F7">
            <w:pPr>
              <w:rPr>
                <w:rFonts w:ascii="Times New Roman" w:hAnsi="Times New Roman"/>
                <w:b/>
                <w:sz w:val="16"/>
                <w:szCs w:val="16"/>
              </w:rPr>
            </w:pPr>
            <w:r>
              <w:rPr>
                <w:rFonts w:ascii="Times New Roman" w:hAnsi="Times New Roman"/>
                <w:b/>
                <w:sz w:val="16"/>
                <w:szCs w:val="16"/>
              </w:rPr>
              <w:t>PLOT 11</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R14 IMN</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Control</w:t>
            </w:r>
          </w:p>
        </w:tc>
        <w:tc>
          <w:tcPr>
            <w:tcW w:w="1275" w:type="dxa"/>
          </w:tcPr>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R14/R54 IMN</w:t>
            </w:r>
          </w:p>
          <w:p w:rsidR="00D036A9" w:rsidRDefault="00D036A9" w:rsidP="00B272F7">
            <w:pPr>
              <w:rPr>
                <w:rFonts w:ascii="Times New Roman" w:hAnsi="Times New Roman"/>
                <w:b/>
                <w:sz w:val="16"/>
                <w:szCs w:val="16"/>
              </w:rPr>
            </w:pPr>
          </w:p>
          <w:p w:rsidR="00D036A9" w:rsidRDefault="00D036A9" w:rsidP="00B272F7">
            <w:pPr>
              <w:rPr>
                <w:rFonts w:ascii="Times New Roman" w:hAnsi="Times New Roman"/>
                <w:b/>
                <w:sz w:val="16"/>
                <w:szCs w:val="16"/>
              </w:rPr>
            </w:pPr>
            <w:r>
              <w:rPr>
                <w:rFonts w:ascii="Times New Roman" w:hAnsi="Times New Roman"/>
                <w:b/>
                <w:sz w:val="16"/>
                <w:szCs w:val="16"/>
              </w:rPr>
              <w:t>Within plot</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992"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4</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2</w:t>
            </w:r>
          </w:p>
        </w:tc>
        <w:tc>
          <w:tcPr>
            <w:tcW w:w="993"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3</w:t>
            </w:r>
          </w:p>
        </w:tc>
        <w:tc>
          <w:tcPr>
            <w:tcW w:w="1275"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2</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Trochulus hispidus</w:t>
            </w:r>
          </w:p>
        </w:tc>
        <w:tc>
          <w:tcPr>
            <w:tcW w:w="992"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993" w:type="dxa"/>
          </w:tcPr>
          <w:p w:rsidR="00D036A9" w:rsidRPr="0095468D" w:rsidRDefault="00D036A9" w:rsidP="00B272F7">
            <w:pPr>
              <w:rPr>
                <w:rFonts w:ascii="Times New Roman" w:hAnsi="Times New Roman"/>
                <w:i/>
                <w:sz w:val="16"/>
                <w:szCs w:val="16"/>
              </w:rPr>
            </w:pPr>
          </w:p>
        </w:tc>
        <w:tc>
          <w:tcPr>
            <w:tcW w:w="1134" w:type="dxa"/>
          </w:tcPr>
          <w:p w:rsidR="00D036A9" w:rsidRPr="0095468D" w:rsidRDefault="00D036A9" w:rsidP="00B272F7">
            <w:pPr>
              <w:rPr>
                <w:rFonts w:ascii="Times New Roman" w:hAnsi="Times New Roman"/>
                <w:i/>
                <w:sz w:val="16"/>
                <w:szCs w:val="16"/>
              </w:rPr>
            </w:pPr>
          </w:p>
        </w:tc>
        <w:tc>
          <w:tcPr>
            <w:tcW w:w="1134" w:type="dxa"/>
          </w:tcPr>
          <w:p w:rsidR="00D036A9" w:rsidRPr="00950C22" w:rsidRDefault="00D036A9" w:rsidP="00B272F7">
            <w:pPr>
              <w:rPr>
                <w:rFonts w:ascii="Times New Roman" w:hAnsi="Times New Roman"/>
                <w:b/>
                <w:sz w:val="16"/>
                <w:szCs w:val="16"/>
              </w:rPr>
            </w:pPr>
            <w:r w:rsidRPr="00950C22">
              <w:rPr>
                <w:rFonts w:ascii="Times New Roman" w:hAnsi="Times New Roman"/>
                <w:b/>
                <w:sz w:val="16"/>
                <w:szCs w:val="16"/>
              </w:rPr>
              <w:t>3</w:t>
            </w:r>
          </w:p>
        </w:tc>
        <w:tc>
          <w:tcPr>
            <w:tcW w:w="1275" w:type="dxa"/>
          </w:tcPr>
          <w:p w:rsidR="00D036A9" w:rsidRPr="0095468D" w:rsidRDefault="00D036A9" w:rsidP="00B272F7">
            <w:pPr>
              <w:rPr>
                <w:rFonts w:ascii="Times New Roman" w:hAnsi="Times New Roman"/>
                <w:i/>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c>
          <w:tcPr>
            <w:tcW w:w="1134" w:type="dxa"/>
          </w:tcPr>
          <w:p w:rsidR="00D036A9" w:rsidRPr="00950C22" w:rsidRDefault="00D036A9" w:rsidP="00B272F7">
            <w:pPr>
              <w:rPr>
                <w:rFonts w:ascii="Times New Roman" w:hAnsi="Times New Roman"/>
                <w:b/>
                <w:sz w:val="16"/>
                <w:szCs w:val="16"/>
              </w:rPr>
            </w:pPr>
            <w:r>
              <w:rPr>
                <w:rFonts w:ascii="Times New Roman" w:hAnsi="Times New Roman"/>
                <w:b/>
                <w:sz w:val="16"/>
                <w:szCs w:val="16"/>
              </w:rPr>
              <w:t>6</w:t>
            </w:r>
          </w:p>
        </w:tc>
        <w:tc>
          <w:tcPr>
            <w:tcW w:w="1275"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992"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993"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c>
          <w:tcPr>
            <w:tcW w:w="1134"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w:t>
            </w:r>
          </w:p>
        </w:tc>
        <w:tc>
          <w:tcPr>
            <w:tcW w:w="1275"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w:t>
            </w:r>
          </w:p>
        </w:tc>
      </w:tr>
    </w:tbl>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p>
    <w:p w:rsidR="00D036A9" w:rsidRDefault="00D036A9" w:rsidP="00D036A9">
      <w:pPr>
        <w:rPr>
          <w:b/>
          <w:sz w:val="28"/>
        </w:rPr>
      </w:pPr>
      <w:proofErr w:type="gramStart"/>
      <w:r w:rsidRPr="00CC7B92">
        <w:rPr>
          <w:b/>
        </w:rPr>
        <w:t xml:space="preserve">Table </w:t>
      </w:r>
      <w:r>
        <w:rPr>
          <w:b/>
        </w:rPr>
        <w:t>3.4</w:t>
      </w:r>
      <w:r w:rsidRPr="00CC7B92">
        <w:rPr>
          <w:b/>
        </w:rPr>
        <w:t xml:space="preserve"> </w:t>
      </w:r>
      <w:r>
        <w:rPr>
          <w:b/>
        </w:rPr>
        <w:t>Summary of molluscan species found in 2015 study.</w:t>
      </w:r>
      <w:proofErr w:type="gramEnd"/>
    </w:p>
    <w:tbl>
      <w:tblPr>
        <w:tblStyle w:val="TableGrid1"/>
        <w:tblW w:w="9108" w:type="dxa"/>
        <w:tblInd w:w="-72" w:type="dxa"/>
        <w:tblLayout w:type="fixed"/>
        <w:tblLook w:val="00A0" w:firstRow="1" w:lastRow="0" w:firstColumn="1" w:lastColumn="0" w:noHBand="0" w:noVBand="0"/>
      </w:tblPr>
      <w:tblGrid>
        <w:gridCol w:w="1456"/>
        <w:gridCol w:w="1276"/>
        <w:gridCol w:w="1276"/>
        <w:gridCol w:w="1275"/>
        <w:gridCol w:w="1275"/>
        <w:gridCol w:w="1275"/>
        <w:gridCol w:w="1275"/>
      </w:tblGrid>
      <w:tr w:rsidR="00D036A9" w:rsidTr="00B272F7">
        <w:trPr>
          <w:trHeight w:val="91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SPECIES</w:t>
            </w:r>
          </w:p>
        </w:tc>
        <w:tc>
          <w:tcPr>
            <w:tcW w:w="2552" w:type="dxa"/>
            <w:gridSpan w:val="2"/>
          </w:tcPr>
          <w:p w:rsidR="00D036A9" w:rsidRPr="009D5453" w:rsidRDefault="00D036A9" w:rsidP="00B272F7">
            <w:pPr>
              <w:rPr>
                <w:rFonts w:ascii="Times New Roman" w:hAnsi="Times New Roman"/>
                <w:b/>
                <w:lang w:val="fr-FR"/>
              </w:rPr>
            </w:pPr>
            <w:r w:rsidRPr="009D5453">
              <w:rPr>
                <w:rFonts w:ascii="Times New Roman" w:hAnsi="Times New Roman"/>
                <w:b/>
                <w:lang w:val="fr-FR"/>
              </w:rPr>
              <w:t>Inis Mór,</w:t>
            </w:r>
          </w:p>
          <w:p w:rsidR="00D036A9" w:rsidRPr="009D5453" w:rsidRDefault="00D036A9" w:rsidP="00B272F7">
            <w:pPr>
              <w:rPr>
                <w:rFonts w:ascii="Times New Roman" w:hAnsi="Times New Roman"/>
                <w:b/>
                <w:lang w:val="fr-FR"/>
              </w:rPr>
            </w:pPr>
            <w:r w:rsidRPr="009D5453">
              <w:rPr>
                <w:rFonts w:ascii="Times New Roman" w:hAnsi="Times New Roman"/>
                <w:b/>
                <w:lang w:val="fr-FR"/>
              </w:rPr>
              <w:t>Trá mór (3 Sites)</w:t>
            </w:r>
          </w:p>
          <w:p w:rsidR="00D036A9" w:rsidRPr="009D5453" w:rsidRDefault="00D036A9" w:rsidP="00B272F7">
            <w:pPr>
              <w:rPr>
                <w:rFonts w:ascii="Times New Roman" w:hAnsi="Times New Roman"/>
                <w:b/>
                <w:lang w:val="fr-FR"/>
              </w:rPr>
            </w:pPr>
            <w:r w:rsidRPr="009D5453">
              <w:rPr>
                <w:rFonts w:ascii="Times New Roman" w:hAnsi="Times New Roman"/>
                <w:b/>
                <w:lang w:val="fr-FR"/>
              </w:rPr>
              <w:t xml:space="preserve"> </w:t>
            </w:r>
          </w:p>
        </w:tc>
        <w:tc>
          <w:tcPr>
            <w:tcW w:w="2550" w:type="dxa"/>
            <w:gridSpan w:val="2"/>
          </w:tcPr>
          <w:p w:rsidR="00D036A9" w:rsidRPr="009D5453" w:rsidRDefault="00D036A9" w:rsidP="00B272F7">
            <w:pPr>
              <w:rPr>
                <w:rFonts w:ascii="Times New Roman" w:hAnsi="Times New Roman"/>
                <w:b/>
              </w:rPr>
            </w:pPr>
            <w:r w:rsidRPr="009D5453">
              <w:rPr>
                <w:rFonts w:ascii="Times New Roman" w:hAnsi="Times New Roman"/>
                <w:b/>
              </w:rPr>
              <w:t>Inis M</w:t>
            </w:r>
            <w:r>
              <w:rPr>
                <w:rFonts w:ascii="Times New Roman" w:hAnsi="Times New Roman"/>
                <w:b/>
              </w:rPr>
              <w:t>ó</w:t>
            </w:r>
            <w:r w:rsidRPr="009D5453">
              <w:rPr>
                <w:rFonts w:ascii="Times New Roman" w:hAnsi="Times New Roman"/>
                <w:b/>
              </w:rPr>
              <w:t>r,</w:t>
            </w:r>
          </w:p>
          <w:p w:rsidR="00D036A9" w:rsidRPr="009D5453" w:rsidRDefault="00D036A9" w:rsidP="00B272F7">
            <w:pPr>
              <w:rPr>
                <w:rFonts w:ascii="Times New Roman" w:hAnsi="Times New Roman"/>
                <w:b/>
              </w:rPr>
            </w:pPr>
            <w:r>
              <w:rPr>
                <w:rFonts w:ascii="Times New Roman" w:hAnsi="Times New Roman"/>
                <w:b/>
              </w:rPr>
              <w:t xml:space="preserve"> Kilmurvey </w:t>
            </w:r>
            <w:r w:rsidRPr="009D5453">
              <w:rPr>
                <w:rFonts w:ascii="Times New Roman" w:hAnsi="Times New Roman"/>
                <w:b/>
                <w:lang w:val="fr-FR"/>
              </w:rPr>
              <w:t>(3 Sites)</w:t>
            </w:r>
          </w:p>
          <w:p w:rsidR="00D036A9" w:rsidRPr="009D5453" w:rsidRDefault="00D036A9" w:rsidP="00B272F7">
            <w:pPr>
              <w:rPr>
                <w:rFonts w:ascii="Times New Roman" w:hAnsi="Times New Roman"/>
                <w:b/>
              </w:rPr>
            </w:pPr>
            <w:r>
              <w:rPr>
                <w:rFonts w:ascii="Times New Roman" w:hAnsi="Times New Roman"/>
                <w:b/>
              </w:rPr>
              <w:t xml:space="preserve"> </w:t>
            </w:r>
          </w:p>
        </w:tc>
        <w:tc>
          <w:tcPr>
            <w:tcW w:w="2550" w:type="dxa"/>
            <w:gridSpan w:val="2"/>
          </w:tcPr>
          <w:p w:rsidR="00D036A9" w:rsidRPr="009D5453" w:rsidRDefault="00D036A9" w:rsidP="00B272F7">
            <w:pPr>
              <w:rPr>
                <w:rFonts w:ascii="Times New Roman" w:hAnsi="Times New Roman"/>
                <w:b/>
              </w:rPr>
            </w:pPr>
            <w:r>
              <w:rPr>
                <w:rFonts w:ascii="Times New Roman" w:hAnsi="Times New Roman"/>
                <w:b/>
              </w:rPr>
              <w:t xml:space="preserve"> </w:t>
            </w:r>
          </w:p>
          <w:p w:rsidR="00D036A9" w:rsidRPr="009D5453" w:rsidRDefault="00D036A9" w:rsidP="00B272F7">
            <w:pPr>
              <w:rPr>
                <w:rFonts w:ascii="Times New Roman" w:hAnsi="Times New Roman"/>
                <w:b/>
              </w:rPr>
            </w:pPr>
            <w:r>
              <w:rPr>
                <w:rFonts w:ascii="Times New Roman" w:hAnsi="Times New Roman"/>
                <w:b/>
              </w:rPr>
              <w:t xml:space="preserve">Inis Meain </w:t>
            </w:r>
            <w:r w:rsidRPr="009D5453">
              <w:rPr>
                <w:rFonts w:ascii="Times New Roman" w:hAnsi="Times New Roman"/>
                <w:b/>
                <w:lang w:val="fr-FR"/>
              </w:rPr>
              <w:t>(</w:t>
            </w:r>
            <w:r>
              <w:rPr>
                <w:rFonts w:ascii="Times New Roman" w:hAnsi="Times New Roman"/>
                <w:b/>
                <w:lang w:val="fr-FR"/>
              </w:rPr>
              <w:t>5</w:t>
            </w:r>
            <w:r w:rsidRPr="009D5453">
              <w:rPr>
                <w:rFonts w:ascii="Times New Roman" w:hAnsi="Times New Roman"/>
                <w:b/>
                <w:lang w:val="fr-FR"/>
              </w:rPr>
              <w:t xml:space="preserve"> Sites)</w:t>
            </w:r>
          </w:p>
        </w:tc>
      </w:tr>
      <w:tr w:rsidR="00D036A9" w:rsidRPr="00950C22" w:rsidTr="00B272F7">
        <w:trPr>
          <w:trHeight w:val="284"/>
        </w:trPr>
        <w:tc>
          <w:tcPr>
            <w:tcW w:w="1456" w:type="dxa"/>
            <w:vAlign w:val="center"/>
          </w:tcPr>
          <w:p w:rsidR="00D036A9" w:rsidRPr="0095468D" w:rsidRDefault="00D036A9" w:rsidP="00B272F7">
            <w:pPr>
              <w:rPr>
                <w:rFonts w:ascii="Times New Roman" w:hAnsi="Times New Roman"/>
                <w:i/>
                <w:sz w:val="16"/>
                <w:szCs w:val="16"/>
              </w:rPr>
            </w:pPr>
          </w:p>
        </w:tc>
        <w:tc>
          <w:tcPr>
            <w:tcW w:w="1276" w:type="dxa"/>
          </w:tcPr>
          <w:p w:rsidR="00D036A9" w:rsidRPr="001B10B9" w:rsidRDefault="00D036A9" w:rsidP="00B272F7">
            <w:pPr>
              <w:rPr>
                <w:rFonts w:ascii="Times New Roman" w:hAnsi="Times New Roman"/>
                <w:b/>
                <w:sz w:val="16"/>
                <w:szCs w:val="16"/>
              </w:rPr>
            </w:pPr>
            <w:r w:rsidRPr="001B10B9">
              <w:rPr>
                <w:rFonts w:ascii="Times New Roman" w:hAnsi="Times New Roman"/>
                <w:b/>
                <w:sz w:val="16"/>
                <w:szCs w:val="16"/>
              </w:rPr>
              <w:t>No. Individuals</w:t>
            </w:r>
          </w:p>
        </w:tc>
        <w:tc>
          <w:tcPr>
            <w:tcW w:w="1276" w:type="dxa"/>
          </w:tcPr>
          <w:p w:rsidR="00D036A9" w:rsidRPr="001B10B9" w:rsidRDefault="00D036A9" w:rsidP="00B272F7">
            <w:pPr>
              <w:rPr>
                <w:rFonts w:ascii="Times New Roman" w:hAnsi="Times New Roman"/>
                <w:b/>
                <w:sz w:val="16"/>
                <w:szCs w:val="16"/>
              </w:rPr>
            </w:pPr>
            <w:r w:rsidRPr="001B10B9">
              <w:rPr>
                <w:rFonts w:ascii="Times New Roman" w:hAnsi="Times New Roman"/>
                <w:b/>
                <w:sz w:val="16"/>
                <w:szCs w:val="16"/>
              </w:rPr>
              <w:t>No. sites</w:t>
            </w:r>
          </w:p>
        </w:tc>
        <w:tc>
          <w:tcPr>
            <w:tcW w:w="1275" w:type="dxa"/>
          </w:tcPr>
          <w:p w:rsidR="00D036A9" w:rsidRPr="001B10B9" w:rsidRDefault="00D036A9" w:rsidP="00B272F7">
            <w:pPr>
              <w:rPr>
                <w:rFonts w:ascii="Times New Roman" w:hAnsi="Times New Roman"/>
                <w:b/>
                <w:sz w:val="16"/>
                <w:szCs w:val="16"/>
              </w:rPr>
            </w:pPr>
            <w:r w:rsidRPr="001B10B9">
              <w:rPr>
                <w:rFonts w:ascii="Times New Roman" w:hAnsi="Times New Roman"/>
                <w:b/>
                <w:sz w:val="16"/>
                <w:szCs w:val="16"/>
              </w:rPr>
              <w:t>No. Individuals</w:t>
            </w:r>
          </w:p>
        </w:tc>
        <w:tc>
          <w:tcPr>
            <w:tcW w:w="1275" w:type="dxa"/>
          </w:tcPr>
          <w:p w:rsidR="00D036A9" w:rsidRPr="001B10B9" w:rsidRDefault="00D036A9" w:rsidP="00B272F7">
            <w:pPr>
              <w:rPr>
                <w:rFonts w:ascii="Times New Roman" w:hAnsi="Times New Roman"/>
                <w:b/>
                <w:sz w:val="16"/>
                <w:szCs w:val="16"/>
              </w:rPr>
            </w:pPr>
            <w:r w:rsidRPr="001B10B9">
              <w:rPr>
                <w:rFonts w:ascii="Times New Roman" w:hAnsi="Times New Roman"/>
                <w:b/>
                <w:sz w:val="16"/>
                <w:szCs w:val="16"/>
              </w:rPr>
              <w:t>No. sites</w:t>
            </w:r>
          </w:p>
        </w:tc>
        <w:tc>
          <w:tcPr>
            <w:tcW w:w="1275" w:type="dxa"/>
          </w:tcPr>
          <w:p w:rsidR="00D036A9" w:rsidRPr="001B10B9" w:rsidRDefault="00D036A9" w:rsidP="00B272F7">
            <w:pPr>
              <w:rPr>
                <w:rFonts w:ascii="Times New Roman" w:hAnsi="Times New Roman"/>
                <w:b/>
                <w:sz w:val="16"/>
                <w:szCs w:val="16"/>
              </w:rPr>
            </w:pPr>
            <w:r w:rsidRPr="001B10B9">
              <w:rPr>
                <w:rFonts w:ascii="Times New Roman" w:hAnsi="Times New Roman"/>
                <w:b/>
                <w:sz w:val="16"/>
                <w:szCs w:val="16"/>
              </w:rPr>
              <w:t>No. Individuals</w:t>
            </w:r>
          </w:p>
        </w:tc>
        <w:tc>
          <w:tcPr>
            <w:tcW w:w="1275" w:type="dxa"/>
          </w:tcPr>
          <w:p w:rsidR="00D036A9" w:rsidRPr="001B10B9" w:rsidRDefault="00D036A9" w:rsidP="00B272F7">
            <w:pPr>
              <w:rPr>
                <w:rFonts w:ascii="Times New Roman" w:hAnsi="Times New Roman"/>
                <w:b/>
                <w:sz w:val="16"/>
                <w:szCs w:val="16"/>
              </w:rPr>
            </w:pPr>
            <w:r w:rsidRPr="001B10B9">
              <w:rPr>
                <w:rFonts w:ascii="Times New Roman" w:hAnsi="Times New Roman"/>
                <w:b/>
                <w:sz w:val="16"/>
                <w:szCs w:val="16"/>
              </w:rPr>
              <w:t>No. sites</w:t>
            </w:r>
          </w:p>
        </w:tc>
      </w:tr>
      <w:tr w:rsidR="00D036A9" w:rsidRPr="00950C22"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Cochlicopa lubricella</w:t>
            </w:r>
          </w:p>
        </w:tc>
        <w:tc>
          <w:tcPr>
            <w:tcW w:w="1276" w:type="dxa"/>
          </w:tcPr>
          <w:p w:rsidR="00D036A9" w:rsidRPr="001B10B9" w:rsidRDefault="00D036A9" w:rsidP="00B272F7">
            <w:pPr>
              <w:rPr>
                <w:rFonts w:ascii="Times New Roman" w:hAnsi="Times New Roman"/>
                <w:sz w:val="16"/>
                <w:szCs w:val="16"/>
              </w:rPr>
            </w:pPr>
            <w:r w:rsidRPr="001B10B9">
              <w:rPr>
                <w:rFonts w:ascii="Times New Roman" w:hAnsi="Times New Roman"/>
                <w:sz w:val="16"/>
                <w:szCs w:val="16"/>
              </w:rPr>
              <w:t>1</w:t>
            </w:r>
          </w:p>
        </w:tc>
        <w:tc>
          <w:tcPr>
            <w:tcW w:w="1276" w:type="dxa"/>
          </w:tcPr>
          <w:p w:rsidR="00D036A9" w:rsidRPr="001B10B9" w:rsidRDefault="00D036A9" w:rsidP="00B272F7">
            <w:pPr>
              <w:rPr>
                <w:rFonts w:ascii="Times New Roman" w:hAnsi="Times New Roman"/>
                <w:sz w:val="16"/>
                <w:szCs w:val="16"/>
              </w:rPr>
            </w:pPr>
            <w:r w:rsidRPr="001B10B9">
              <w:rPr>
                <w:rFonts w:ascii="Times New Roman" w:hAnsi="Times New Roman"/>
                <w:sz w:val="16"/>
                <w:szCs w:val="16"/>
              </w:rPr>
              <w:t>1</w:t>
            </w:r>
          </w:p>
        </w:tc>
        <w:tc>
          <w:tcPr>
            <w:tcW w:w="1275" w:type="dxa"/>
          </w:tcPr>
          <w:p w:rsidR="00D036A9" w:rsidRPr="001B10B9" w:rsidRDefault="00D036A9" w:rsidP="00B272F7">
            <w:pPr>
              <w:rPr>
                <w:rFonts w:ascii="Times New Roman" w:hAnsi="Times New Roman"/>
                <w:b/>
                <w:sz w:val="16"/>
                <w:szCs w:val="16"/>
              </w:rPr>
            </w:pPr>
            <w:r>
              <w:rPr>
                <w:rFonts w:ascii="Times New Roman" w:hAnsi="Times New Roman"/>
                <w:b/>
                <w:sz w:val="16"/>
                <w:szCs w:val="16"/>
              </w:rPr>
              <w:t>124</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2</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2</w:t>
            </w:r>
          </w:p>
        </w:tc>
        <w:tc>
          <w:tcPr>
            <w:tcW w:w="1275" w:type="dxa"/>
          </w:tcPr>
          <w:p w:rsidR="00D036A9" w:rsidRPr="001B10B9" w:rsidRDefault="00D036A9" w:rsidP="00B272F7">
            <w:pPr>
              <w:rPr>
                <w:rFonts w:ascii="Times New Roman" w:hAnsi="Times New Roman"/>
                <w:b/>
                <w:sz w:val="16"/>
                <w:szCs w:val="16"/>
              </w:rPr>
            </w:pPr>
            <w:r>
              <w:rPr>
                <w:rFonts w:ascii="Times New Roman" w:hAnsi="Times New Roman"/>
                <w:b/>
                <w:sz w:val="16"/>
                <w:szCs w:val="16"/>
              </w:rPr>
              <w:t>1</w:t>
            </w:r>
          </w:p>
        </w:tc>
      </w:tr>
      <w:tr w:rsidR="00D036A9" w:rsidRPr="00950C22" w:rsidTr="00B272F7">
        <w:trPr>
          <w:trHeight w:val="284"/>
        </w:trPr>
        <w:tc>
          <w:tcPr>
            <w:tcW w:w="1456" w:type="dxa"/>
            <w:vAlign w:val="center"/>
          </w:tcPr>
          <w:p w:rsidR="00D036A9" w:rsidRPr="0095468D" w:rsidRDefault="00D036A9" w:rsidP="00B272F7">
            <w:pPr>
              <w:rPr>
                <w:rFonts w:ascii="Times New Roman" w:hAnsi="Times New Roman"/>
                <w:i/>
                <w:sz w:val="16"/>
                <w:szCs w:val="16"/>
              </w:rPr>
            </w:pPr>
            <w:r>
              <w:rPr>
                <w:rFonts w:ascii="Times New Roman" w:hAnsi="Times New Roman"/>
                <w:i/>
                <w:sz w:val="16"/>
                <w:szCs w:val="16"/>
              </w:rPr>
              <w:t>Vallonia excentrica</w:t>
            </w:r>
          </w:p>
        </w:tc>
        <w:tc>
          <w:tcPr>
            <w:tcW w:w="1276" w:type="dxa"/>
          </w:tcPr>
          <w:p w:rsidR="00D036A9" w:rsidRPr="001B10B9" w:rsidRDefault="00D036A9" w:rsidP="00B272F7">
            <w:pPr>
              <w:rPr>
                <w:rFonts w:ascii="Times New Roman" w:hAnsi="Times New Roman"/>
                <w:sz w:val="16"/>
                <w:szCs w:val="16"/>
              </w:rPr>
            </w:pPr>
            <w:r>
              <w:rPr>
                <w:rFonts w:ascii="Times New Roman" w:hAnsi="Times New Roman"/>
                <w:sz w:val="16"/>
                <w:szCs w:val="16"/>
              </w:rPr>
              <w:t>2</w:t>
            </w:r>
          </w:p>
        </w:tc>
        <w:tc>
          <w:tcPr>
            <w:tcW w:w="1276" w:type="dxa"/>
          </w:tcPr>
          <w:p w:rsidR="00D036A9" w:rsidRPr="001B10B9" w:rsidRDefault="00D036A9" w:rsidP="00B272F7">
            <w:pPr>
              <w:rPr>
                <w:rFonts w:ascii="Times New Roman" w:hAnsi="Times New Roman"/>
                <w:sz w:val="16"/>
                <w:szCs w:val="16"/>
              </w:rPr>
            </w:pPr>
            <w:r>
              <w:rPr>
                <w:rFonts w:ascii="Times New Roman" w:hAnsi="Times New Roman"/>
                <w:sz w:val="16"/>
                <w:szCs w:val="16"/>
              </w:rPr>
              <w:t>1</w:t>
            </w: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r>
      <w:tr w:rsidR="00D036A9" w:rsidRPr="00950C22"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Vitrea contracta</w:t>
            </w:r>
          </w:p>
        </w:tc>
        <w:tc>
          <w:tcPr>
            <w:tcW w:w="1276" w:type="dxa"/>
          </w:tcPr>
          <w:p w:rsidR="00D036A9" w:rsidRPr="001B10B9" w:rsidRDefault="00D036A9" w:rsidP="00B272F7">
            <w:pPr>
              <w:rPr>
                <w:rFonts w:ascii="Times New Roman" w:hAnsi="Times New Roman"/>
                <w:sz w:val="16"/>
                <w:szCs w:val="16"/>
              </w:rPr>
            </w:pPr>
          </w:p>
        </w:tc>
        <w:tc>
          <w:tcPr>
            <w:tcW w:w="1276"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6</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1</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1</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1</w:t>
            </w:r>
          </w:p>
        </w:tc>
      </w:tr>
      <w:tr w:rsidR="00D036A9" w:rsidRPr="00950C22" w:rsidTr="00B272F7">
        <w:trPr>
          <w:trHeight w:val="284"/>
        </w:trPr>
        <w:tc>
          <w:tcPr>
            <w:tcW w:w="1456" w:type="dxa"/>
            <w:vAlign w:val="center"/>
          </w:tcPr>
          <w:p w:rsidR="00D036A9" w:rsidRPr="0095468D" w:rsidRDefault="00D036A9" w:rsidP="00B272F7">
            <w:pPr>
              <w:rPr>
                <w:rFonts w:ascii="Times New Roman" w:hAnsi="Times New Roman"/>
                <w:i/>
                <w:sz w:val="16"/>
                <w:szCs w:val="16"/>
              </w:rPr>
            </w:pPr>
            <w:r w:rsidRPr="0095468D">
              <w:rPr>
                <w:rFonts w:ascii="Times New Roman" w:hAnsi="Times New Roman"/>
                <w:i/>
                <w:sz w:val="16"/>
                <w:szCs w:val="16"/>
              </w:rPr>
              <w:t>Helicella itala</w:t>
            </w:r>
          </w:p>
        </w:tc>
        <w:tc>
          <w:tcPr>
            <w:tcW w:w="1276" w:type="dxa"/>
          </w:tcPr>
          <w:p w:rsidR="00D036A9" w:rsidRPr="001B10B9" w:rsidRDefault="00D036A9" w:rsidP="00B272F7">
            <w:pPr>
              <w:rPr>
                <w:rFonts w:ascii="Times New Roman" w:hAnsi="Times New Roman"/>
                <w:sz w:val="16"/>
                <w:szCs w:val="16"/>
              </w:rPr>
            </w:pPr>
            <w:r w:rsidRPr="001B10B9">
              <w:rPr>
                <w:rFonts w:ascii="Times New Roman" w:hAnsi="Times New Roman"/>
                <w:sz w:val="16"/>
                <w:szCs w:val="16"/>
              </w:rPr>
              <w:t>22</w:t>
            </w:r>
          </w:p>
        </w:tc>
        <w:tc>
          <w:tcPr>
            <w:tcW w:w="1276" w:type="dxa"/>
          </w:tcPr>
          <w:p w:rsidR="00D036A9" w:rsidRPr="001B10B9" w:rsidRDefault="00D036A9" w:rsidP="00B272F7">
            <w:pPr>
              <w:rPr>
                <w:rFonts w:ascii="Times New Roman" w:hAnsi="Times New Roman"/>
                <w:sz w:val="16"/>
                <w:szCs w:val="16"/>
              </w:rPr>
            </w:pPr>
            <w:r w:rsidRPr="001B10B9">
              <w:rPr>
                <w:rFonts w:ascii="Times New Roman" w:hAnsi="Times New Roman"/>
                <w:sz w:val="16"/>
                <w:szCs w:val="16"/>
              </w:rPr>
              <w:t>3</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8</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2</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36</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5</w:t>
            </w:r>
          </w:p>
        </w:tc>
      </w:tr>
      <w:tr w:rsidR="00D036A9" w:rsidRPr="00950C22" w:rsidTr="00B272F7">
        <w:trPr>
          <w:trHeight w:val="284"/>
        </w:trPr>
        <w:tc>
          <w:tcPr>
            <w:tcW w:w="1456" w:type="dxa"/>
            <w:vAlign w:val="center"/>
          </w:tcPr>
          <w:p w:rsidR="00D036A9" w:rsidRDefault="00D036A9" w:rsidP="00B272F7">
            <w:pPr>
              <w:rPr>
                <w:rFonts w:ascii="Times New Roman" w:hAnsi="Times New Roman"/>
                <w:i/>
                <w:sz w:val="16"/>
                <w:szCs w:val="16"/>
              </w:rPr>
            </w:pPr>
            <w:r>
              <w:rPr>
                <w:rFonts w:ascii="Times New Roman" w:hAnsi="Times New Roman"/>
                <w:i/>
                <w:sz w:val="16"/>
                <w:szCs w:val="16"/>
              </w:rPr>
              <w:t>Trochulus hispidus</w:t>
            </w:r>
          </w:p>
        </w:tc>
        <w:tc>
          <w:tcPr>
            <w:tcW w:w="1276" w:type="dxa"/>
          </w:tcPr>
          <w:p w:rsidR="00D036A9" w:rsidRDefault="00D036A9" w:rsidP="00B272F7">
            <w:pPr>
              <w:rPr>
                <w:rFonts w:ascii="Times New Roman" w:hAnsi="Times New Roman"/>
                <w:sz w:val="16"/>
                <w:szCs w:val="16"/>
              </w:rPr>
            </w:pPr>
          </w:p>
        </w:tc>
        <w:tc>
          <w:tcPr>
            <w:tcW w:w="1276" w:type="dxa"/>
          </w:tcPr>
          <w:p w:rsidR="00D036A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3</w:t>
            </w:r>
          </w:p>
        </w:tc>
        <w:tc>
          <w:tcPr>
            <w:tcW w:w="1275" w:type="dxa"/>
          </w:tcPr>
          <w:p w:rsidR="00D036A9" w:rsidRPr="001B10B9" w:rsidRDefault="00D036A9" w:rsidP="00B272F7">
            <w:pPr>
              <w:rPr>
                <w:rFonts w:ascii="Times New Roman" w:hAnsi="Times New Roman"/>
                <w:sz w:val="16"/>
                <w:szCs w:val="16"/>
              </w:rPr>
            </w:pPr>
            <w:r>
              <w:rPr>
                <w:rFonts w:ascii="Times New Roman" w:hAnsi="Times New Roman"/>
                <w:sz w:val="16"/>
                <w:szCs w:val="16"/>
              </w:rPr>
              <w:t>1</w:t>
            </w:r>
          </w:p>
        </w:tc>
      </w:tr>
      <w:tr w:rsidR="00D036A9" w:rsidRPr="00950C22" w:rsidTr="00B272F7">
        <w:trPr>
          <w:trHeight w:val="284"/>
        </w:trPr>
        <w:tc>
          <w:tcPr>
            <w:tcW w:w="1456" w:type="dxa"/>
            <w:vAlign w:val="center"/>
          </w:tcPr>
          <w:p w:rsidR="00D036A9" w:rsidRPr="0095468D" w:rsidRDefault="00D036A9" w:rsidP="00B272F7">
            <w:pPr>
              <w:rPr>
                <w:rFonts w:ascii="Times New Roman" w:hAnsi="Times New Roman"/>
                <w:i/>
                <w:sz w:val="16"/>
                <w:szCs w:val="16"/>
              </w:rPr>
            </w:pPr>
            <w:r>
              <w:rPr>
                <w:rFonts w:ascii="Times New Roman" w:hAnsi="Times New Roman"/>
                <w:i/>
                <w:sz w:val="16"/>
                <w:szCs w:val="16"/>
              </w:rPr>
              <w:t>Candidula intersecta</w:t>
            </w:r>
          </w:p>
        </w:tc>
        <w:tc>
          <w:tcPr>
            <w:tcW w:w="1276" w:type="dxa"/>
          </w:tcPr>
          <w:p w:rsidR="00D036A9" w:rsidRPr="001B10B9" w:rsidRDefault="00D036A9" w:rsidP="00B272F7">
            <w:pPr>
              <w:rPr>
                <w:rFonts w:ascii="Times New Roman" w:hAnsi="Times New Roman"/>
                <w:sz w:val="16"/>
                <w:szCs w:val="16"/>
              </w:rPr>
            </w:pPr>
            <w:r>
              <w:rPr>
                <w:rFonts w:ascii="Times New Roman" w:hAnsi="Times New Roman"/>
                <w:sz w:val="16"/>
                <w:szCs w:val="16"/>
              </w:rPr>
              <w:t>1</w:t>
            </w:r>
          </w:p>
        </w:tc>
        <w:tc>
          <w:tcPr>
            <w:tcW w:w="1276" w:type="dxa"/>
          </w:tcPr>
          <w:p w:rsidR="00D036A9" w:rsidRPr="001B10B9" w:rsidRDefault="00D036A9" w:rsidP="00B272F7">
            <w:pPr>
              <w:rPr>
                <w:rFonts w:ascii="Times New Roman" w:hAnsi="Times New Roman"/>
                <w:sz w:val="16"/>
                <w:szCs w:val="16"/>
              </w:rPr>
            </w:pPr>
            <w:r>
              <w:rPr>
                <w:rFonts w:ascii="Times New Roman" w:hAnsi="Times New Roman"/>
                <w:sz w:val="16"/>
                <w:szCs w:val="16"/>
              </w:rPr>
              <w:t>1</w:t>
            </w: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c>
          <w:tcPr>
            <w:tcW w:w="1275" w:type="dxa"/>
          </w:tcPr>
          <w:p w:rsidR="00D036A9" w:rsidRPr="001B10B9" w:rsidRDefault="00D036A9" w:rsidP="00B272F7">
            <w:pPr>
              <w:rPr>
                <w:rFonts w:ascii="Times New Roman" w:hAnsi="Times New Roman"/>
                <w:sz w:val="16"/>
                <w:szCs w:val="16"/>
              </w:rPr>
            </w:pPr>
          </w:p>
        </w:tc>
      </w:tr>
      <w:tr w:rsidR="00D036A9" w:rsidRPr="00950C22"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individuals</w:t>
            </w:r>
          </w:p>
        </w:tc>
        <w:tc>
          <w:tcPr>
            <w:tcW w:w="1276"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26</w:t>
            </w:r>
          </w:p>
        </w:tc>
        <w:tc>
          <w:tcPr>
            <w:tcW w:w="1276"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 xml:space="preserve"> </w:t>
            </w:r>
          </w:p>
        </w:tc>
        <w:tc>
          <w:tcPr>
            <w:tcW w:w="1275"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138</w:t>
            </w:r>
          </w:p>
        </w:tc>
        <w:tc>
          <w:tcPr>
            <w:tcW w:w="1275" w:type="dxa"/>
          </w:tcPr>
          <w:p w:rsidR="00D036A9" w:rsidRPr="0095468D" w:rsidRDefault="00D036A9" w:rsidP="00B272F7">
            <w:pPr>
              <w:rPr>
                <w:rFonts w:ascii="Times New Roman" w:hAnsi="Times New Roman"/>
                <w:b/>
                <w:sz w:val="16"/>
                <w:szCs w:val="16"/>
              </w:rPr>
            </w:pPr>
          </w:p>
        </w:tc>
        <w:tc>
          <w:tcPr>
            <w:tcW w:w="1275"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42</w:t>
            </w:r>
          </w:p>
        </w:tc>
        <w:tc>
          <w:tcPr>
            <w:tcW w:w="1275" w:type="dxa"/>
          </w:tcPr>
          <w:p w:rsidR="00D036A9" w:rsidRPr="0095468D" w:rsidRDefault="00D036A9" w:rsidP="00B272F7">
            <w:pPr>
              <w:rPr>
                <w:rFonts w:ascii="Times New Roman" w:hAnsi="Times New Roman"/>
                <w:b/>
                <w:sz w:val="16"/>
                <w:szCs w:val="16"/>
              </w:rPr>
            </w:pPr>
          </w:p>
        </w:tc>
      </w:tr>
      <w:tr w:rsidR="00D036A9" w:rsidRPr="0095468D" w:rsidTr="00B272F7">
        <w:trPr>
          <w:trHeight w:val="284"/>
        </w:trPr>
        <w:tc>
          <w:tcPr>
            <w:tcW w:w="1456" w:type="dxa"/>
            <w:vAlign w:val="center"/>
          </w:tcPr>
          <w:p w:rsidR="00D036A9" w:rsidRPr="0095468D" w:rsidRDefault="00D036A9" w:rsidP="00B272F7">
            <w:pPr>
              <w:rPr>
                <w:rFonts w:ascii="Times New Roman" w:hAnsi="Times New Roman"/>
                <w:b/>
                <w:sz w:val="16"/>
                <w:szCs w:val="16"/>
              </w:rPr>
            </w:pPr>
            <w:r w:rsidRPr="0095468D">
              <w:rPr>
                <w:rFonts w:ascii="Times New Roman" w:hAnsi="Times New Roman"/>
                <w:b/>
                <w:sz w:val="16"/>
                <w:szCs w:val="16"/>
              </w:rPr>
              <w:t>Total no. species</w:t>
            </w:r>
          </w:p>
        </w:tc>
        <w:tc>
          <w:tcPr>
            <w:tcW w:w="1276"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w:t>
            </w:r>
          </w:p>
        </w:tc>
        <w:tc>
          <w:tcPr>
            <w:tcW w:w="1276"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 xml:space="preserve"> </w:t>
            </w:r>
          </w:p>
        </w:tc>
        <w:tc>
          <w:tcPr>
            <w:tcW w:w="1275"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3</w:t>
            </w:r>
          </w:p>
        </w:tc>
        <w:tc>
          <w:tcPr>
            <w:tcW w:w="1275" w:type="dxa"/>
          </w:tcPr>
          <w:p w:rsidR="00D036A9" w:rsidRPr="0095468D" w:rsidRDefault="00D036A9" w:rsidP="00B272F7">
            <w:pPr>
              <w:rPr>
                <w:rFonts w:ascii="Times New Roman" w:hAnsi="Times New Roman"/>
                <w:b/>
                <w:sz w:val="16"/>
                <w:szCs w:val="16"/>
              </w:rPr>
            </w:pPr>
          </w:p>
        </w:tc>
        <w:tc>
          <w:tcPr>
            <w:tcW w:w="1275" w:type="dxa"/>
          </w:tcPr>
          <w:p w:rsidR="00D036A9" w:rsidRPr="0095468D" w:rsidRDefault="00D036A9" w:rsidP="00B272F7">
            <w:pPr>
              <w:rPr>
                <w:rFonts w:ascii="Times New Roman" w:hAnsi="Times New Roman"/>
                <w:b/>
                <w:sz w:val="16"/>
                <w:szCs w:val="16"/>
              </w:rPr>
            </w:pPr>
            <w:r>
              <w:rPr>
                <w:rFonts w:ascii="Times New Roman" w:hAnsi="Times New Roman"/>
                <w:b/>
                <w:sz w:val="16"/>
                <w:szCs w:val="16"/>
              </w:rPr>
              <w:t>4</w:t>
            </w:r>
          </w:p>
        </w:tc>
        <w:tc>
          <w:tcPr>
            <w:tcW w:w="1275" w:type="dxa"/>
          </w:tcPr>
          <w:p w:rsidR="00D036A9" w:rsidRPr="0095468D" w:rsidRDefault="00D036A9" w:rsidP="00B272F7">
            <w:pPr>
              <w:rPr>
                <w:rFonts w:ascii="Times New Roman" w:hAnsi="Times New Roman"/>
                <w:b/>
                <w:sz w:val="16"/>
                <w:szCs w:val="16"/>
              </w:rPr>
            </w:pPr>
          </w:p>
        </w:tc>
      </w:tr>
    </w:tbl>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r>
        <w:rPr>
          <w:noProof/>
          <w:lang w:eastAsia="en-GB"/>
        </w:rPr>
        <w:drawing>
          <wp:anchor distT="0" distB="0" distL="114300" distR="114300" simplePos="0" relativeHeight="251661312" behindDoc="0" locked="0" layoutInCell="1" allowOverlap="0" wp14:anchorId="10AC1FE6" wp14:editId="365086E8">
            <wp:simplePos x="0" y="0"/>
            <wp:positionH relativeFrom="margin">
              <wp:posOffset>-470848</wp:posOffset>
            </wp:positionH>
            <wp:positionV relativeFrom="margin">
              <wp:posOffset>402183</wp:posOffset>
            </wp:positionV>
            <wp:extent cx="7571232" cy="8961120"/>
            <wp:effectExtent l="685800" t="0" r="677545" b="0"/>
            <wp:wrapSquare wrapText="bothSides"/>
            <wp:docPr id="392" name="Picture 39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8" cstate="screen">
                      <a:extLst>
                        <a:ext uri="{28A0092B-C50C-407E-A947-70E740481C1C}">
                          <a14:useLocalDpi xmlns:a14="http://schemas.microsoft.com/office/drawing/2010/main"/>
                        </a:ext>
                      </a:extLst>
                    </a:blip>
                    <a:stretch>
                      <a:fillRect/>
                    </a:stretch>
                  </pic:blipFill>
                  <pic:spPr>
                    <a:xfrm rot="5400000">
                      <a:off x="0" y="0"/>
                      <a:ext cx="7571232" cy="8961120"/>
                    </a:xfrm>
                    <a:prstGeom prst="rect">
                      <a:avLst/>
                    </a:prstGeom>
                    <a:noFill/>
                    <a:ln>
                      <a:noFill/>
                    </a:ln>
                  </pic:spPr>
                </pic:pic>
              </a:graphicData>
            </a:graphic>
          </wp:anchor>
        </w:drawing>
      </w:r>
      <w:r>
        <w:rPr>
          <w:b/>
          <w:sz w:val="28"/>
        </w:rPr>
        <w:t>Figures 3.1 to 3.4 Map of Seaweed Plots</w:t>
      </w: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r>
        <w:rPr>
          <w:noProof/>
          <w:lang w:eastAsia="en-GB"/>
        </w:rPr>
        <w:lastRenderedPageBreak/>
        <w:drawing>
          <wp:inline distT="0" distB="0" distL="0" distR="0" wp14:anchorId="1F802CDC" wp14:editId="1345A514">
            <wp:extent cx="6645910" cy="4600727"/>
            <wp:effectExtent l="0" t="0" r="0" b="0"/>
            <wp:docPr id="423" name="Picture 423"/>
            <wp:cNvGraphicFramePr/>
            <a:graphic xmlns:a="http://schemas.openxmlformats.org/drawingml/2006/main">
              <a:graphicData uri="http://schemas.openxmlformats.org/drawingml/2006/picture">
                <pic:pic xmlns:pic="http://schemas.openxmlformats.org/drawingml/2006/picture">
                  <pic:nvPicPr>
                    <pic:cNvPr id="423" name="Picture 423"/>
                    <pic:cNvPicPr/>
                  </pic:nvPicPr>
                  <pic:blipFill>
                    <a:blip r:embed="rId79" cstate="print"/>
                    <a:stretch>
                      <a:fillRect/>
                    </a:stretch>
                  </pic:blipFill>
                  <pic:spPr>
                    <a:xfrm>
                      <a:off x="0" y="0"/>
                      <a:ext cx="6645910" cy="4600727"/>
                    </a:xfrm>
                    <a:prstGeom prst="rect">
                      <a:avLst/>
                    </a:prstGeom>
                  </pic:spPr>
                </pic:pic>
              </a:graphicData>
            </a:graphic>
          </wp:inline>
        </w:drawing>
      </w: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r>
        <w:rPr>
          <w:noProof/>
          <w:lang w:eastAsia="en-GB"/>
        </w:rPr>
        <w:lastRenderedPageBreak/>
        <w:drawing>
          <wp:anchor distT="0" distB="0" distL="114300" distR="114300" simplePos="0" relativeHeight="251660288" behindDoc="0" locked="0" layoutInCell="1" allowOverlap="0" wp14:anchorId="44D7AE59" wp14:editId="21487010">
            <wp:simplePos x="0" y="0"/>
            <wp:positionH relativeFrom="page">
              <wp:posOffset>457200</wp:posOffset>
            </wp:positionH>
            <wp:positionV relativeFrom="margin">
              <wp:posOffset>381000</wp:posOffset>
            </wp:positionV>
            <wp:extent cx="7754112" cy="10680192"/>
            <wp:effectExtent l="0" t="0" r="0" b="6985"/>
            <wp:wrapTopAndBottom/>
            <wp:docPr id="393" name="Picture 39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0" cstate="print"/>
                    <a:stretch>
                      <a:fillRect/>
                    </a:stretch>
                  </pic:blipFill>
                  <pic:spPr>
                    <a:xfrm>
                      <a:off x="0" y="0"/>
                      <a:ext cx="7754112" cy="10680192"/>
                    </a:xfrm>
                    <a:prstGeom prst="rect">
                      <a:avLst/>
                    </a:prstGeom>
                  </pic:spPr>
                </pic:pic>
              </a:graphicData>
            </a:graphic>
          </wp:anchor>
        </w:drawing>
      </w: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r>
        <w:rPr>
          <w:noProof/>
          <w:lang w:eastAsia="en-GB"/>
        </w:rPr>
        <w:lastRenderedPageBreak/>
        <w:drawing>
          <wp:anchor distT="0" distB="0" distL="114300" distR="114300" simplePos="0" relativeHeight="251662336" behindDoc="0" locked="0" layoutInCell="1" allowOverlap="0" wp14:anchorId="5E3DDAFD" wp14:editId="0606F54E">
            <wp:simplePos x="0" y="0"/>
            <wp:positionH relativeFrom="page">
              <wp:posOffset>457200</wp:posOffset>
            </wp:positionH>
            <wp:positionV relativeFrom="margin">
              <wp:posOffset>368300</wp:posOffset>
            </wp:positionV>
            <wp:extent cx="7753985" cy="10680065"/>
            <wp:effectExtent l="3810" t="0" r="3175" b="3175"/>
            <wp:wrapTopAndBottom/>
            <wp:docPr id="394" name="Picture 39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1" cstate="print"/>
                    <a:stretch>
                      <a:fillRect/>
                    </a:stretch>
                  </pic:blipFill>
                  <pic:spPr>
                    <a:xfrm rot="5400000">
                      <a:off x="0" y="0"/>
                      <a:ext cx="7753985" cy="10680065"/>
                    </a:xfrm>
                    <a:prstGeom prst="rect">
                      <a:avLst/>
                    </a:prstGeom>
                  </pic:spPr>
                </pic:pic>
              </a:graphicData>
            </a:graphic>
          </wp:anchor>
        </w:drawing>
      </w: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rPr>
          <w:b/>
          <w:sz w:val="28"/>
        </w:rPr>
      </w:pPr>
    </w:p>
    <w:p w:rsidR="00D036A9" w:rsidRDefault="00D036A9" w:rsidP="00D036A9">
      <w:pPr>
        <w:rPr>
          <w:b/>
          <w:sz w:val="28"/>
        </w:rPr>
      </w:pPr>
      <w:r>
        <w:rPr>
          <w:b/>
          <w:sz w:val="28"/>
        </w:rPr>
        <w:br w:type="page"/>
      </w:r>
    </w:p>
    <w:p w:rsidR="00D036A9" w:rsidRDefault="00D036A9" w:rsidP="00D036A9">
      <w:pPr>
        <w:tabs>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s>
        <w:spacing w:after="0"/>
        <w:rPr>
          <w:b/>
          <w:sz w:val="28"/>
        </w:rPr>
      </w:pPr>
      <w:r>
        <w:rPr>
          <w:b/>
          <w:sz w:val="28"/>
        </w:rPr>
        <w:lastRenderedPageBreak/>
        <w:t>4.0 Discussion</w:t>
      </w:r>
    </w:p>
    <w:p w:rsidR="00D036A9" w:rsidRDefault="00D036A9" w:rsidP="00D036A9">
      <w:pPr>
        <w:pStyle w:val="BodyText2"/>
        <w:spacing w:after="0"/>
      </w:pPr>
      <w:r>
        <w:t>The results of the 2015 molluscan study demonstrated that molluscs were sparse, both in terms of species richness and in biomass of individuals. This result was in keeping with the habitats present in the plots, which were barely colonized by vegetation cover and in some places had extensive bare sand. It is to be expected that lands that are poor for grazing due to lack of vegetation, land that farmers consider would benefit from improvement in fertility and vegetation growth response through seaweed application, would also not have the thatch and litter build up that most snail species require for food and shelter.</w:t>
      </w:r>
    </w:p>
    <w:p w:rsidR="00D036A9" w:rsidRDefault="00D036A9" w:rsidP="00D036A9">
      <w:pPr>
        <w:pStyle w:val="BodyText2"/>
        <w:spacing w:after="0"/>
      </w:pPr>
    </w:p>
    <w:p w:rsidR="00D036A9" w:rsidRDefault="00D036A9" w:rsidP="00D036A9">
      <w:pPr>
        <w:pStyle w:val="BodyText2"/>
        <w:spacing w:after="0"/>
      </w:pPr>
      <w:r>
        <w:t xml:space="preserve">The snail species found were few, but most sites had some individuals of </w:t>
      </w:r>
      <w:r w:rsidRPr="0035117B">
        <w:rPr>
          <w:i/>
        </w:rPr>
        <w:t>Helicella itala</w:t>
      </w:r>
      <w:r>
        <w:t xml:space="preserve"> where even sparse vegetation was present. </w:t>
      </w:r>
      <w:r w:rsidRPr="0035117B">
        <w:t>This species is adapted to</w:t>
      </w:r>
      <w:r>
        <w:t xml:space="preserve"> sparse vegetation, it is a</w:t>
      </w:r>
      <w:r w:rsidRPr="0035117B">
        <w:t xml:space="preserve"> xerophilous</w:t>
      </w:r>
      <w:r>
        <w:t xml:space="preserve"> species</w:t>
      </w:r>
      <w:r w:rsidRPr="0035117B">
        <w:t xml:space="preserve"> found in all kinds of dry, open habitats such as calcareous grassland and dunes. It </w:t>
      </w:r>
      <w:r>
        <w:t xml:space="preserve">is more likely to be lost from areas of dense vegetation cover, and the species can </w:t>
      </w:r>
      <w:r w:rsidRPr="0035117B">
        <w:t xml:space="preserve">disappear rapidly from a site with abandonment and the cessation of grazing (Byrne </w:t>
      </w:r>
      <w:r w:rsidRPr="0035117B">
        <w:rPr>
          <w:i/>
          <w:iCs/>
        </w:rPr>
        <w:t>et al.</w:t>
      </w:r>
      <w:r w:rsidRPr="0035117B">
        <w:t xml:space="preserve"> 2009). </w:t>
      </w:r>
      <w:r>
        <w:t xml:space="preserve">It is common and widespread across both islands, so an improvement in some areas of vegetation will not affect its conservation status. Similarly the so-called “wrinkled dune snail” </w:t>
      </w:r>
      <w:r w:rsidRPr="00BB40B1">
        <w:rPr>
          <w:i/>
        </w:rPr>
        <w:t>Candidula intersecta</w:t>
      </w:r>
      <w:r>
        <w:t xml:space="preserve"> could be expected to be present in sites with bare to sparse vegetation cover as it can tolerate bare soil and often takes refuge under rocks and stones rather than seeking out deep litter.</w:t>
      </w:r>
    </w:p>
    <w:p w:rsidR="00D036A9" w:rsidRDefault="00D036A9" w:rsidP="00D036A9">
      <w:pPr>
        <w:pStyle w:val="BodyText2"/>
        <w:spacing w:after="0"/>
      </w:pPr>
    </w:p>
    <w:p w:rsidR="00D036A9" w:rsidRDefault="00D036A9" w:rsidP="00D036A9">
      <w:pPr>
        <w:pStyle w:val="BodyText2"/>
        <w:spacing w:after="0"/>
      </w:pPr>
      <w:r>
        <w:t xml:space="preserve">The other species found included the pillar snail </w:t>
      </w:r>
      <w:r w:rsidRPr="00BB40B1">
        <w:rPr>
          <w:i/>
        </w:rPr>
        <w:t>Cochlicopa lubricella</w:t>
      </w:r>
      <w:r>
        <w:t xml:space="preserve">. This is one of two species of common pillar snails in dune habitats, the other being </w:t>
      </w:r>
      <w:r w:rsidRPr="00BB40B1">
        <w:rPr>
          <w:i/>
        </w:rPr>
        <w:t>Cochlicopa lubrica</w:t>
      </w:r>
      <w:r>
        <w:t xml:space="preserve">. The species found in large numbers in Kilmurvey Sites 5 and 6 is </w:t>
      </w:r>
      <w:r w:rsidRPr="00BB40B1">
        <w:rPr>
          <w:i/>
        </w:rPr>
        <w:t>C. lubricella</w:t>
      </w:r>
      <w:r>
        <w:t xml:space="preserve">, and this demonstrates that the habitat in these two sites had a more vegetated, thatched base than the other sites, but the habitat was not deep and damp enough to support the less tolerant </w:t>
      </w:r>
      <w:r w:rsidRPr="00BB40B1">
        <w:rPr>
          <w:i/>
        </w:rPr>
        <w:t>C. lubrica</w:t>
      </w:r>
      <w:r>
        <w:t xml:space="preserve"> or other damp dune grass species such as </w:t>
      </w:r>
      <w:r w:rsidRPr="00BB40B1">
        <w:rPr>
          <w:i/>
        </w:rPr>
        <w:t>Vertigo angustior</w:t>
      </w:r>
      <w:r>
        <w:t xml:space="preserve">. Similarly </w:t>
      </w:r>
      <w:r w:rsidRPr="00FF6CDB">
        <w:rPr>
          <w:i/>
        </w:rPr>
        <w:t>Vallonia excentrica</w:t>
      </w:r>
      <w:r>
        <w:t xml:space="preserve"> is one of three vallonids found in dune grasslands, and the one with the most tolerance of dry conditions. </w:t>
      </w:r>
      <w:r w:rsidRPr="00FF6CDB">
        <w:rPr>
          <w:i/>
        </w:rPr>
        <w:t>Vitrea contracta</w:t>
      </w:r>
      <w:r>
        <w:t xml:space="preserve"> has a similar tolerance range for dry conditions. One control site in Trá Mór had 3 individuals of </w:t>
      </w:r>
      <w:r w:rsidRPr="00FF6CDB">
        <w:rPr>
          <w:i/>
        </w:rPr>
        <w:t>Trochulus hispidus</w:t>
      </w:r>
      <w:r>
        <w:t>, a species that is normally associated with damper conditions.</w:t>
      </w:r>
    </w:p>
    <w:p w:rsidR="00D036A9" w:rsidRDefault="00D036A9" w:rsidP="00D036A9">
      <w:pPr>
        <w:pStyle w:val="BodyText2"/>
        <w:spacing w:after="0"/>
      </w:pPr>
    </w:p>
    <w:p w:rsidR="00D036A9" w:rsidRDefault="00D036A9" w:rsidP="00D036A9">
      <w:pPr>
        <w:pStyle w:val="BodyText2"/>
        <w:spacing w:after="0"/>
      </w:pPr>
      <w:r>
        <w:t xml:space="preserve">All sites treated with seaweed can therefore be considered, at this baseline stage, to be unsuitable for </w:t>
      </w:r>
      <w:r w:rsidRPr="00FF6CDB">
        <w:rPr>
          <w:i/>
        </w:rPr>
        <w:t>Vertigo angustior</w:t>
      </w:r>
      <w:r>
        <w:t xml:space="preserve">, and also not supportive of the range of dune molluscs that require stable damp conditions with a well developed understorey of thatch. Table 4.1 lists the species found in this baseline study along with the species found in the Kilmurvey and airport area SAC sites that include well developed </w:t>
      </w:r>
      <w:r w:rsidRPr="00FF6CDB">
        <w:rPr>
          <w:i/>
        </w:rPr>
        <w:t>V. angustior</w:t>
      </w:r>
      <w:r>
        <w:t xml:space="preserve"> habitat (data from Moorkens &amp; Killeen, 2011). Interestingly, 5 of the 7 species found in the current study were not found in the two SAC area sampling studies, most likely due to the fact that the SAC surveys were biased towards examination of the habitats that were most likely to contain </w:t>
      </w:r>
      <w:r w:rsidRPr="006E62D5">
        <w:rPr>
          <w:i/>
        </w:rPr>
        <w:t>Vertigo angustior</w:t>
      </w:r>
      <w:r>
        <w:t xml:space="preserve">.  As the seaweed trial continues, it will be of interest to see which, if </w:t>
      </w:r>
      <w:proofErr w:type="gramStart"/>
      <w:r>
        <w:t>any,</w:t>
      </w:r>
      <w:proofErr w:type="gramEnd"/>
      <w:r>
        <w:t xml:space="preserve"> molluscan species can spread into the plot areas. While molluscs are known to be slow in nature, and some are very small in size, they are actually highly mobile, with smaller species being easily transported by larger invertebrates and mammals, so if habitat conditions change the mollusc fauna is normally quick to respond. </w:t>
      </w:r>
    </w:p>
    <w:p w:rsidR="00D036A9" w:rsidRDefault="00D036A9" w:rsidP="00D036A9">
      <w:r>
        <w:t xml:space="preserve"> </w:t>
      </w:r>
    </w:p>
    <w:p w:rsidR="00D036A9" w:rsidRDefault="00D036A9" w:rsidP="00D036A9">
      <w:r>
        <w:br w:type="page"/>
      </w:r>
    </w:p>
    <w:p w:rsidR="00D036A9" w:rsidRDefault="00D036A9" w:rsidP="00D036A9">
      <w:pPr>
        <w:rPr>
          <w:b/>
        </w:rPr>
      </w:pPr>
      <w:r w:rsidRPr="00D47D37">
        <w:rPr>
          <w:b/>
        </w:rPr>
        <w:lastRenderedPageBreak/>
        <w:t xml:space="preserve">Table </w:t>
      </w:r>
      <w:r>
        <w:rPr>
          <w:b/>
        </w:rPr>
        <w:t>4</w:t>
      </w:r>
      <w:r w:rsidRPr="00D47D37">
        <w:rPr>
          <w:b/>
        </w:rPr>
        <w:t>.</w:t>
      </w:r>
      <w:r>
        <w:rPr>
          <w:b/>
        </w:rPr>
        <w:t>1</w:t>
      </w:r>
      <w:r w:rsidRPr="00D47D37">
        <w:rPr>
          <w:b/>
        </w:rPr>
        <w:t xml:space="preserve"> </w:t>
      </w:r>
      <w:r>
        <w:rPr>
          <w:b/>
        </w:rPr>
        <w:t xml:space="preserve">species found in </w:t>
      </w:r>
      <w:r w:rsidRPr="00D47D37">
        <w:rPr>
          <w:b/>
        </w:rPr>
        <w:t xml:space="preserve">field sampling </w:t>
      </w:r>
      <w:r>
        <w:rPr>
          <w:b/>
        </w:rPr>
        <w:t xml:space="preserve">in Kilmurvey and Airport area components of Inishmore SAC (Moorkens &amp; Killeen, 2011) compared with baseline species found </w:t>
      </w:r>
      <w:r w:rsidRPr="00D47D37">
        <w:rPr>
          <w:b/>
        </w:rPr>
        <w:t xml:space="preserve">in the </w:t>
      </w:r>
      <w:r>
        <w:rPr>
          <w:b/>
        </w:rPr>
        <w:t xml:space="preserve">seaweed trial </w:t>
      </w:r>
      <w:r w:rsidRPr="00D47D37">
        <w:rPr>
          <w:b/>
        </w:rPr>
        <w:t>plots.</w:t>
      </w:r>
    </w:p>
    <w:p w:rsidR="00D036A9" w:rsidRDefault="00D036A9" w:rsidP="00D036A9">
      <w:pPr>
        <w:jc w:val="center"/>
        <w:rPr>
          <w:b/>
          <w:sz w:val="20"/>
          <w:szCs w:val="20"/>
        </w:rPr>
      </w:pPr>
      <w:r w:rsidRPr="00EF5A4D">
        <w:rPr>
          <w:b/>
          <w:sz w:val="20"/>
          <w:szCs w:val="20"/>
        </w:rPr>
        <w:t xml:space="preserve">Table </w:t>
      </w:r>
      <w:r>
        <w:rPr>
          <w:b/>
          <w:sz w:val="20"/>
          <w:szCs w:val="20"/>
        </w:rPr>
        <w:t>2</w:t>
      </w:r>
      <w:r w:rsidRPr="00EF5A4D">
        <w:rPr>
          <w:b/>
          <w:sz w:val="20"/>
          <w:szCs w:val="20"/>
        </w:rPr>
        <w:t>: Molluscan composition of samples</w:t>
      </w:r>
      <w:r>
        <w:rPr>
          <w:b/>
          <w:sz w:val="20"/>
          <w:szCs w:val="20"/>
        </w:rPr>
        <w:t xml:space="preserve"> </w:t>
      </w:r>
      <w:r>
        <w:rPr>
          <w:sz w:val="20"/>
          <w:szCs w:val="20"/>
        </w:rPr>
        <w:t>(X = present)</w:t>
      </w:r>
      <w:r w:rsidRPr="00EF5A4D">
        <w:rPr>
          <w:b/>
          <w:sz w:val="20"/>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0"/>
        <w:gridCol w:w="1055"/>
        <w:gridCol w:w="813"/>
        <w:gridCol w:w="1426"/>
      </w:tblGrid>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b/>
                <w:sz w:val="20"/>
                <w:szCs w:val="20"/>
              </w:rPr>
            </w:pPr>
          </w:p>
        </w:tc>
        <w:tc>
          <w:tcPr>
            <w:tcW w:w="0" w:type="auto"/>
            <w:tcBorders>
              <w:left w:val="single" w:sz="6" w:space="0" w:color="auto"/>
              <w:right w:val="single" w:sz="6" w:space="0" w:color="auto"/>
            </w:tcBorders>
          </w:tcPr>
          <w:p w:rsidR="00D036A9" w:rsidRDefault="00D036A9" w:rsidP="00B272F7">
            <w:pPr>
              <w:spacing w:line="240" w:lineRule="auto"/>
              <w:jc w:val="center"/>
              <w:rPr>
                <w:b/>
                <w:sz w:val="20"/>
                <w:szCs w:val="20"/>
              </w:rPr>
            </w:pPr>
            <w:r>
              <w:rPr>
                <w:b/>
                <w:sz w:val="20"/>
                <w:szCs w:val="20"/>
              </w:rPr>
              <w:t>Kilmurvey</w:t>
            </w:r>
          </w:p>
          <w:p w:rsidR="00D036A9" w:rsidRPr="005403FF" w:rsidRDefault="00D036A9" w:rsidP="00B272F7">
            <w:pPr>
              <w:spacing w:line="240" w:lineRule="auto"/>
              <w:jc w:val="center"/>
              <w:rPr>
                <w:sz w:val="20"/>
                <w:szCs w:val="20"/>
              </w:rPr>
            </w:pPr>
            <w:r>
              <w:rPr>
                <w:b/>
                <w:sz w:val="20"/>
                <w:szCs w:val="20"/>
              </w:rPr>
              <w:t>SAC</w:t>
            </w:r>
          </w:p>
        </w:tc>
        <w:tc>
          <w:tcPr>
            <w:tcW w:w="0" w:type="auto"/>
            <w:tcBorders>
              <w:left w:val="single" w:sz="6" w:space="0" w:color="auto"/>
              <w:right w:val="single" w:sz="6" w:space="0" w:color="auto"/>
            </w:tcBorders>
          </w:tcPr>
          <w:p w:rsidR="00D036A9" w:rsidRDefault="00D036A9" w:rsidP="00B272F7">
            <w:pPr>
              <w:spacing w:line="240" w:lineRule="auto"/>
              <w:jc w:val="center"/>
              <w:rPr>
                <w:b/>
                <w:sz w:val="20"/>
                <w:szCs w:val="20"/>
              </w:rPr>
            </w:pPr>
            <w:r>
              <w:rPr>
                <w:b/>
                <w:sz w:val="20"/>
                <w:szCs w:val="20"/>
              </w:rPr>
              <w:t>Airport</w:t>
            </w:r>
          </w:p>
          <w:p w:rsidR="00D036A9" w:rsidRPr="005403FF" w:rsidRDefault="00D036A9" w:rsidP="00B272F7">
            <w:pPr>
              <w:spacing w:line="240" w:lineRule="auto"/>
              <w:jc w:val="center"/>
              <w:rPr>
                <w:sz w:val="20"/>
                <w:szCs w:val="20"/>
              </w:rPr>
            </w:pPr>
            <w:r>
              <w:rPr>
                <w:b/>
                <w:sz w:val="20"/>
                <w:szCs w:val="20"/>
              </w:rPr>
              <w:t>SAC</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b/>
                <w:sz w:val="20"/>
                <w:szCs w:val="20"/>
              </w:rPr>
              <w:t>Seaweed plots</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sz w:val="20"/>
                <w:szCs w:val="20"/>
              </w:rPr>
            </w:pPr>
            <w:r w:rsidRPr="005403FF">
              <w:rPr>
                <w:b/>
                <w:sz w:val="20"/>
                <w:szCs w:val="20"/>
              </w:rPr>
              <w:t>Species</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Carychium tridentatum</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Cochlicopa lubrica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 xml:space="preserve"> </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Cochlicopa lubricella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Vertigo pygmaea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Vertigo angustior</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Pupilla muscorum</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Lauria cylindracea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Acanthinula aculeata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 xml:space="preserve"> </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Vallonia costata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Pr>
                <w:i/>
                <w:sz w:val="20"/>
                <w:szCs w:val="20"/>
              </w:rPr>
              <w:t>Vallonia excentrica</w:t>
            </w:r>
          </w:p>
        </w:tc>
        <w:tc>
          <w:tcPr>
            <w:tcW w:w="0" w:type="auto"/>
            <w:tcBorders>
              <w:left w:val="single" w:sz="6" w:space="0" w:color="auto"/>
              <w:right w:val="single" w:sz="6" w:space="0" w:color="auto"/>
            </w:tcBorders>
          </w:tcPr>
          <w:p w:rsidR="00D036A9"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Arion intermedius</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Punctum pygmaeum</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Pr>
                <w:i/>
                <w:sz w:val="20"/>
                <w:szCs w:val="20"/>
              </w:rPr>
              <w:t>Discus rotundatus</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Vitrina pellucida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 xml:space="preserve"> </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Vitrea contracta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Deroceras reticulatum</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Helicella itala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r>
      <w:tr w:rsidR="00D036A9" w:rsidRPr="005403FF" w:rsidTr="00B272F7">
        <w:trPr>
          <w:jc w:val="center"/>
        </w:trPr>
        <w:tc>
          <w:tcPr>
            <w:tcW w:w="0" w:type="auto"/>
            <w:tcBorders>
              <w:right w:val="single" w:sz="6" w:space="0" w:color="auto"/>
            </w:tcBorders>
          </w:tcPr>
          <w:p w:rsidR="00D036A9" w:rsidRDefault="00D036A9" w:rsidP="00B272F7">
            <w:pPr>
              <w:spacing w:line="240" w:lineRule="auto"/>
              <w:rPr>
                <w:i/>
                <w:sz w:val="20"/>
                <w:szCs w:val="20"/>
              </w:rPr>
            </w:pPr>
            <w:r>
              <w:rPr>
                <w:i/>
                <w:sz w:val="20"/>
                <w:szCs w:val="20"/>
              </w:rPr>
              <w:t>Candidula intersecta</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Default="00D036A9" w:rsidP="00B272F7">
            <w:pPr>
              <w:spacing w:line="240" w:lineRule="auto"/>
              <w:jc w:val="center"/>
              <w:rPr>
                <w:sz w:val="20"/>
                <w:szCs w:val="20"/>
              </w:rPr>
            </w:pPr>
            <w:r>
              <w:rPr>
                <w:sz w:val="20"/>
                <w:szCs w:val="20"/>
              </w:rPr>
              <w:t>X</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Pr>
                <w:i/>
                <w:sz w:val="20"/>
                <w:szCs w:val="20"/>
              </w:rPr>
              <w:t>Trochulus hispidus</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Cepaea nemoralis</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rPr>
                <w:i/>
                <w:sz w:val="20"/>
                <w:szCs w:val="20"/>
              </w:rPr>
            </w:pPr>
            <w:r w:rsidRPr="005403FF">
              <w:rPr>
                <w:i/>
                <w:sz w:val="20"/>
                <w:szCs w:val="20"/>
              </w:rPr>
              <w:t>Cornu aspersum</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r w:rsidRPr="005403FF">
              <w:rPr>
                <w:sz w:val="20"/>
                <w:szCs w:val="20"/>
              </w:rPr>
              <w:t>X</w:t>
            </w:r>
          </w:p>
        </w:tc>
        <w:tc>
          <w:tcPr>
            <w:tcW w:w="0" w:type="auto"/>
            <w:tcBorders>
              <w:left w:val="single" w:sz="6" w:space="0" w:color="auto"/>
              <w:right w:val="single" w:sz="6" w:space="0" w:color="auto"/>
            </w:tcBorders>
          </w:tcPr>
          <w:p w:rsidR="00D036A9" w:rsidRPr="005403FF" w:rsidRDefault="00D036A9" w:rsidP="00B272F7">
            <w:pPr>
              <w:spacing w:line="240" w:lineRule="auto"/>
              <w:jc w:val="center"/>
              <w:rPr>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jc w:val="right"/>
              <w:rPr>
                <w:b/>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b/>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b/>
                <w:sz w:val="20"/>
                <w:szCs w:val="20"/>
              </w:rPr>
            </w:pPr>
          </w:p>
        </w:tc>
        <w:tc>
          <w:tcPr>
            <w:tcW w:w="0" w:type="auto"/>
            <w:tcBorders>
              <w:left w:val="single" w:sz="6" w:space="0" w:color="auto"/>
              <w:right w:val="single" w:sz="6" w:space="0" w:color="auto"/>
            </w:tcBorders>
          </w:tcPr>
          <w:p w:rsidR="00D036A9" w:rsidRPr="005403FF" w:rsidRDefault="00D036A9" w:rsidP="00B272F7">
            <w:pPr>
              <w:spacing w:line="240" w:lineRule="auto"/>
              <w:jc w:val="center"/>
              <w:rPr>
                <w:b/>
                <w:sz w:val="20"/>
                <w:szCs w:val="20"/>
              </w:rPr>
            </w:pPr>
          </w:p>
        </w:tc>
      </w:tr>
      <w:tr w:rsidR="00D036A9" w:rsidRPr="005403FF" w:rsidTr="00B272F7">
        <w:trPr>
          <w:jc w:val="center"/>
        </w:trPr>
        <w:tc>
          <w:tcPr>
            <w:tcW w:w="0" w:type="auto"/>
            <w:tcBorders>
              <w:right w:val="single" w:sz="6" w:space="0" w:color="auto"/>
            </w:tcBorders>
          </w:tcPr>
          <w:p w:rsidR="00D036A9" w:rsidRPr="005403FF" w:rsidRDefault="00D036A9" w:rsidP="00B272F7">
            <w:pPr>
              <w:spacing w:line="240" w:lineRule="auto"/>
              <w:jc w:val="right"/>
              <w:rPr>
                <w:b/>
                <w:sz w:val="20"/>
                <w:szCs w:val="20"/>
              </w:rPr>
            </w:pPr>
            <w:r w:rsidRPr="005403FF">
              <w:rPr>
                <w:b/>
                <w:sz w:val="20"/>
                <w:szCs w:val="20"/>
              </w:rPr>
              <w:t>Total No. of Species</w:t>
            </w:r>
          </w:p>
        </w:tc>
        <w:tc>
          <w:tcPr>
            <w:tcW w:w="0" w:type="auto"/>
            <w:tcBorders>
              <w:left w:val="single" w:sz="6" w:space="0" w:color="auto"/>
              <w:bottom w:val="single" w:sz="6" w:space="0" w:color="auto"/>
              <w:right w:val="single" w:sz="6" w:space="0" w:color="auto"/>
            </w:tcBorders>
          </w:tcPr>
          <w:p w:rsidR="00D036A9" w:rsidRPr="005403FF" w:rsidRDefault="00D036A9" w:rsidP="00B272F7">
            <w:pPr>
              <w:spacing w:line="240" w:lineRule="auto"/>
              <w:jc w:val="center"/>
              <w:rPr>
                <w:b/>
                <w:sz w:val="20"/>
                <w:szCs w:val="20"/>
              </w:rPr>
            </w:pPr>
            <w:r w:rsidRPr="005403FF">
              <w:rPr>
                <w:b/>
                <w:sz w:val="20"/>
                <w:szCs w:val="20"/>
              </w:rPr>
              <w:t>1</w:t>
            </w:r>
            <w:r>
              <w:rPr>
                <w:b/>
                <w:sz w:val="20"/>
                <w:szCs w:val="20"/>
              </w:rPr>
              <w:t>5</w:t>
            </w:r>
          </w:p>
        </w:tc>
        <w:tc>
          <w:tcPr>
            <w:tcW w:w="0" w:type="auto"/>
            <w:tcBorders>
              <w:left w:val="single" w:sz="6" w:space="0" w:color="auto"/>
              <w:bottom w:val="single" w:sz="6" w:space="0" w:color="auto"/>
              <w:right w:val="single" w:sz="6" w:space="0" w:color="auto"/>
            </w:tcBorders>
          </w:tcPr>
          <w:p w:rsidR="00D036A9" w:rsidRPr="005403FF" w:rsidRDefault="00D036A9" w:rsidP="00B272F7">
            <w:pPr>
              <w:spacing w:line="240" w:lineRule="auto"/>
              <w:jc w:val="center"/>
              <w:rPr>
                <w:b/>
                <w:sz w:val="20"/>
                <w:szCs w:val="20"/>
              </w:rPr>
            </w:pPr>
            <w:r>
              <w:rPr>
                <w:b/>
                <w:sz w:val="20"/>
                <w:szCs w:val="20"/>
              </w:rPr>
              <w:t>9</w:t>
            </w:r>
          </w:p>
        </w:tc>
        <w:tc>
          <w:tcPr>
            <w:tcW w:w="0" w:type="auto"/>
            <w:tcBorders>
              <w:left w:val="single" w:sz="6" w:space="0" w:color="auto"/>
              <w:bottom w:val="single" w:sz="6" w:space="0" w:color="auto"/>
              <w:right w:val="single" w:sz="6" w:space="0" w:color="auto"/>
            </w:tcBorders>
          </w:tcPr>
          <w:p w:rsidR="00D036A9" w:rsidRPr="005403FF" w:rsidRDefault="00D036A9" w:rsidP="00B272F7">
            <w:pPr>
              <w:spacing w:line="240" w:lineRule="auto"/>
              <w:jc w:val="center"/>
              <w:rPr>
                <w:b/>
                <w:sz w:val="20"/>
                <w:szCs w:val="20"/>
              </w:rPr>
            </w:pPr>
            <w:r w:rsidRPr="005403FF">
              <w:rPr>
                <w:b/>
                <w:sz w:val="20"/>
                <w:szCs w:val="20"/>
              </w:rPr>
              <w:t>7</w:t>
            </w:r>
          </w:p>
        </w:tc>
      </w:tr>
    </w:tbl>
    <w:p w:rsidR="00D036A9" w:rsidRDefault="00D036A9" w:rsidP="00D036A9">
      <w:pPr>
        <w:rPr>
          <w:b/>
        </w:rPr>
      </w:pPr>
    </w:p>
    <w:p w:rsidR="00D036A9" w:rsidRDefault="00D036A9" w:rsidP="00D036A9">
      <w:pPr>
        <w:rPr>
          <w:b/>
          <w:sz w:val="28"/>
        </w:rPr>
      </w:pPr>
      <w:r w:rsidRPr="00D47D37">
        <w:rPr>
          <w:b/>
        </w:rPr>
        <w:lastRenderedPageBreak/>
        <w:t xml:space="preserve"> </w:t>
      </w:r>
    </w:p>
    <w:p w:rsidR="00D036A9" w:rsidRPr="00761DC3" w:rsidRDefault="00D036A9" w:rsidP="00D036A9">
      <w:pPr>
        <w:rPr>
          <w:b/>
          <w:sz w:val="28"/>
        </w:rPr>
      </w:pPr>
      <w:r>
        <w:rPr>
          <w:b/>
          <w:sz w:val="28"/>
        </w:rPr>
        <w:t xml:space="preserve">6.0 References </w:t>
      </w:r>
    </w:p>
    <w:p w:rsidR="00D036A9" w:rsidRDefault="00D036A9" w:rsidP="00D036A9">
      <w:pPr>
        <w:jc w:val="both"/>
        <w:rPr>
          <w:iCs/>
          <w:sz w:val="24"/>
          <w:szCs w:val="24"/>
        </w:rPr>
      </w:pPr>
      <w:proofErr w:type="gramStart"/>
      <w:r w:rsidRPr="00761DC3">
        <w:rPr>
          <w:iCs/>
          <w:sz w:val="24"/>
          <w:szCs w:val="24"/>
        </w:rPr>
        <w:t>Anderson R. (2005).</w:t>
      </w:r>
      <w:proofErr w:type="gramEnd"/>
      <w:r w:rsidRPr="00761DC3">
        <w:rPr>
          <w:iCs/>
          <w:sz w:val="24"/>
          <w:szCs w:val="24"/>
        </w:rPr>
        <w:t xml:space="preserve"> </w:t>
      </w:r>
      <w:proofErr w:type="gramStart"/>
      <w:r w:rsidRPr="00761DC3">
        <w:rPr>
          <w:iCs/>
          <w:sz w:val="24"/>
          <w:szCs w:val="24"/>
        </w:rPr>
        <w:t xml:space="preserve">An Annotated List of the Non-Marine Mollusca of Britain and Ireland </w:t>
      </w:r>
      <w:r w:rsidRPr="00761DC3">
        <w:rPr>
          <w:i/>
          <w:sz w:val="24"/>
          <w:szCs w:val="24"/>
        </w:rPr>
        <w:t xml:space="preserve">Journal of Conchology </w:t>
      </w:r>
      <w:r w:rsidRPr="00761DC3">
        <w:rPr>
          <w:b/>
          <w:bCs/>
          <w:iCs/>
          <w:sz w:val="24"/>
          <w:szCs w:val="24"/>
        </w:rPr>
        <w:t xml:space="preserve">38 </w:t>
      </w:r>
      <w:r w:rsidRPr="00761DC3">
        <w:rPr>
          <w:iCs/>
          <w:sz w:val="24"/>
          <w:szCs w:val="24"/>
        </w:rPr>
        <w:t>No 6: 607-637.</w:t>
      </w:r>
      <w:proofErr w:type="gramEnd"/>
    </w:p>
    <w:p w:rsidR="00D036A9" w:rsidRPr="00FB1C4B" w:rsidRDefault="00D036A9" w:rsidP="00D036A9">
      <w:pPr>
        <w:autoSpaceDE w:val="0"/>
        <w:autoSpaceDN w:val="0"/>
        <w:adjustRightInd w:val="0"/>
        <w:jc w:val="both"/>
        <w:rPr>
          <w:rFonts w:eastAsia="TTE1DA3978t00"/>
          <w:sz w:val="24"/>
          <w:szCs w:val="24"/>
          <w:lang w:eastAsia="en-IE"/>
        </w:rPr>
      </w:pPr>
      <w:r w:rsidRPr="00FB1C4B">
        <w:rPr>
          <w:rFonts w:eastAsia="TTE1DA3978t00"/>
          <w:sz w:val="24"/>
          <w:szCs w:val="24"/>
          <w:lang w:eastAsia="en-IE"/>
        </w:rPr>
        <w:t xml:space="preserve">Byrne, A., Moorkens, E.A., Anderson, R., Killeen, I.J. &amp; Regan, E.C. (2009) </w:t>
      </w:r>
      <w:r w:rsidRPr="00FB1C4B">
        <w:rPr>
          <w:rFonts w:eastAsia="TTE2613388t00"/>
          <w:i/>
          <w:sz w:val="24"/>
          <w:szCs w:val="24"/>
          <w:lang w:eastAsia="en-IE"/>
        </w:rPr>
        <w:t>Ireland Red List No. 2 – Non-Marine Molluscs.</w:t>
      </w:r>
      <w:r w:rsidRPr="00FB1C4B">
        <w:rPr>
          <w:rFonts w:eastAsia="TTE2613388t00"/>
          <w:sz w:val="24"/>
          <w:szCs w:val="24"/>
          <w:lang w:eastAsia="en-IE"/>
        </w:rPr>
        <w:t xml:space="preserve"> </w:t>
      </w:r>
      <w:proofErr w:type="gramStart"/>
      <w:r w:rsidRPr="00FB1C4B">
        <w:rPr>
          <w:rFonts w:eastAsia="TTE1DA3978t00"/>
          <w:sz w:val="24"/>
          <w:szCs w:val="24"/>
          <w:lang w:eastAsia="en-IE"/>
        </w:rPr>
        <w:t>National Parks and Wildlife Service, Department of the Environment, Heritage andLocal Government, Dublin, Ireland.</w:t>
      </w:r>
      <w:proofErr w:type="gramEnd"/>
    </w:p>
    <w:p w:rsidR="00D036A9" w:rsidRPr="00761DC3" w:rsidRDefault="00D036A9" w:rsidP="00D036A9">
      <w:pPr>
        <w:jc w:val="both"/>
        <w:rPr>
          <w:sz w:val="24"/>
          <w:szCs w:val="24"/>
        </w:rPr>
      </w:pPr>
      <w:proofErr w:type="gramStart"/>
      <w:r w:rsidRPr="00761DC3">
        <w:rPr>
          <w:sz w:val="24"/>
          <w:szCs w:val="24"/>
        </w:rPr>
        <w:t>Moorkens, E.A. and Gaynor, K. (2003).</w:t>
      </w:r>
      <w:proofErr w:type="gramEnd"/>
      <w:r w:rsidRPr="00761DC3">
        <w:rPr>
          <w:sz w:val="24"/>
          <w:szCs w:val="24"/>
        </w:rPr>
        <w:t xml:space="preserve"> “Studies on </w:t>
      </w:r>
      <w:r w:rsidRPr="00761DC3">
        <w:rPr>
          <w:i/>
          <w:sz w:val="24"/>
          <w:szCs w:val="24"/>
        </w:rPr>
        <w:t>Vertigo angustior</w:t>
      </w:r>
      <w:r w:rsidRPr="00761DC3">
        <w:rPr>
          <w:sz w:val="24"/>
          <w:szCs w:val="24"/>
        </w:rPr>
        <w:t xml:space="preserve"> at a coastal site in western Ireland (Gastropoda, Pulmonata: Vertiginidae)” </w:t>
      </w:r>
      <w:r w:rsidRPr="00761DC3">
        <w:rPr>
          <w:i/>
          <w:iCs/>
          <w:sz w:val="24"/>
          <w:szCs w:val="24"/>
        </w:rPr>
        <w:t>Heldia</w:t>
      </w:r>
      <w:r w:rsidRPr="00761DC3">
        <w:rPr>
          <w:sz w:val="24"/>
          <w:szCs w:val="24"/>
        </w:rPr>
        <w:t xml:space="preserve"> </w:t>
      </w:r>
      <w:r w:rsidRPr="00761DC3">
        <w:rPr>
          <w:b/>
          <w:bCs/>
          <w:sz w:val="24"/>
          <w:szCs w:val="24"/>
        </w:rPr>
        <w:t xml:space="preserve">5 (7): </w:t>
      </w:r>
      <w:r w:rsidRPr="00761DC3">
        <w:rPr>
          <w:sz w:val="24"/>
          <w:szCs w:val="24"/>
        </w:rPr>
        <w:t>125-134.</w:t>
      </w:r>
    </w:p>
    <w:p w:rsidR="00D036A9" w:rsidRPr="00761DC3" w:rsidRDefault="00D036A9" w:rsidP="00D036A9">
      <w:pPr>
        <w:spacing w:line="240" w:lineRule="auto"/>
        <w:jc w:val="both"/>
        <w:rPr>
          <w:sz w:val="24"/>
          <w:szCs w:val="24"/>
          <w:lang w:val="sv-SE"/>
        </w:rPr>
      </w:pPr>
      <w:proofErr w:type="gramStart"/>
      <w:r w:rsidRPr="00761DC3">
        <w:rPr>
          <w:sz w:val="24"/>
          <w:szCs w:val="24"/>
        </w:rPr>
        <w:t>Moorkens, E.A. &amp; Killeen, I.J. (2011).</w:t>
      </w:r>
      <w:proofErr w:type="gramEnd"/>
      <w:r w:rsidRPr="00761DC3">
        <w:rPr>
          <w:sz w:val="24"/>
          <w:szCs w:val="24"/>
          <w:lang w:eastAsia="en-IE"/>
        </w:rPr>
        <w:t xml:space="preserve"> </w:t>
      </w:r>
      <w:proofErr w:type="gramStart"/>
      <w:r w:rsidRPr="00761DC3">
        <w:rPr>
          <w:sz w:val="24"/>
          <w:szCs w:val="24"/>
          <w:lang w:eastAsia="en-IE"/>
        </w:rPr>
        <w:t xml:space="preserve">Monitoring and Condition Assessment of Populations of </w:t>
      </w:r>
      <w:r w:rsidRPr="00761DC3">
        <w:rPr>
          <w:i/>
          <w:iCs/>
          <w:sz w:val="24"/>
          <w:szCs w:val="24"/>
          <w:lang w:eastAsia="en-IE"/>
        </w:rPr>
        <w:t>Vertigo geyeri</w:t>
      </w:r>
      <w:r w:rsidRPr="00761DC3">
        <w:rPr>
          <w:sz w:val="24"/>
          <w:szCs w:val="24"/>
          <w:lang w:eastAsia="en-IE"/>
        </w:rPr>
        <w:t xml:space="preserve">, </w:t>
      </w:r>
      <w:r w:rsidRPr="00761DC3">
        <w:rPr>
          <w:i/>
          <w:iCs/>
          <w:sz w:val="24"/>
          <w:szCs w:val="24"/>
          <w:lang w:eastAsia="en-IE"/>
        </w:rPr>
        <w:t xml:space="preserve">Vertigo angustior </w:t>
      </w:r>
      <w:r w:rsidRPr="00761DC3">
        <w:rPr>
          <w:sz w:val="24"/>
          <w:szCs w:val="24"/>
          <w:lang w:eastAsia="en-IE"/>
        </w:rPr>
        <w:t xml:space="preserve">and </w:t>
      </w:r>
      <w:r w:rsidRPr="00761DC3">
        <w:rPr>
          <w:i/>
          <w:iCs/>
          <w:sz w:val="24"/>
          <w:szCs w:val="24"/>
          <w:lang w:eastAsia="en-IE"/>
        </w:rPr>
        <w:t xml:space="preserve">Vertigo moulinsiana </w:t>
      </w:r>
      <w:r w:rsidRPr="00761DC3">
        <w:rPr>
          <w:sz w:val="24"/>
          <w:szCs w:val="24"/>
          <w:lang w:eastAsia="en-IE"/>
        </w:rPr>
        <w:t>in Ireland.</w:t>
      </w:r>
      <w:proofErr w:type="gramEnd"/>
      <w:r w:rsidRPr="00761DC3">
        <w:rPr>
          <w:sz w:val="24"/>
          <w:szCs w:val="24"/>
          <w:lang w:eastAsia="en-IE"/>
        </w:rPr>
        <w:t xml:space="preserve"> </w:t>
      </w:r>
      <w:proofErr w:type="gramStart"/>
      <w:r w:rsidRPr="00761DC3">
        <w:rPr>
          <w:i/>
          <w:iCs/>
          <w:sz w:val="24"/>
          <w:szCs w:val="24"/>
          <w:lang w:eastAsia="en-IE"/>
        </w:rPr>
        <w:t>Irish Wildlife Manual</w:t>
      </w:r>
      <w:r w:rsidRPr="00761DC3">
        <w:rPr>
          <w:sz w:val="24"/>
          <w:szCs w:val="24"/>
          <w:lang w:eastAsia="en-IE"/>
        </w:rPr>
        <w:t>s, No. 55.</w:t>
      </w:r>
      <w:proofErr w:type="gramEnd"/>
      <w:r w:rsidRPr="00761DC3">
        <w:rPr>
          <w:sz w:val="24"/>
          <w:szCs w:val="24"/>
          <w:lang w:eastAsia="en-IE"/>
        </w:rPr>
        <w:t xml:space="preserve"> </w:t>
      </w:r>
      <w:proofErr w:type="gramStart"/>
      <w:r w:rsidRPr="00761DC3">
        <w:rPr>
          <w:sz w:val="24"/>
          <w:szCs w:val="24"/>
          <w:lang w:eastAsia="en-IE"/>
        </w:rPr>
        <w:t>National Parks and Wildlife Service, Department of Arts, Heritage and Gaeltacht, Dublin, Ireland.</w:t>
      </w:r>
      <w:proofErr w:type="gramEnd"/>
    </w:p>
    <w:p w:rsidR="00D036A9" w:rsidRPr="00761DC3" w:rsidRDefault="00D036A9" w:rsidP="00D036A9">
      <w:pPr>
        <w:spacing w:line="240" w:lineRule="auto"/>
        <w:rPr>
          <w:sz w:val="24"/>
          <w:szCs w:val="24"/>
        </w:rPr>
      </w:pPr>
      <w:r w:rsidRPr="00761DC3">
        <w:rPr>
          <w:sz w:val="24"/>
          <w:szCs w:val="24"/>
          <w:lang w:val="sv-SE"/>
        </w:rPr>
        <w:t xml:space="preserve"> </w:t>
      </w:r>
    </w:p>
    <w:p w:rsidR="00470C92" w:rsidRDefault="00470C92"/>
    <w:sectPr w:rsidR="00470C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1494" w:rsidRDefault="00211494" w:rsidP="00CD3224">
      <w:pPr>
        <w:spacing w:after="0" w:line="240" w:lineRule="auto"/>
      </w:pPr>
      <w:r>
        <w:separator/>
      </w:r>
    </w:p>
  </w:endnote>
  <w:endnote w:type="continuationSeparator" w:id="0">
    <w:p w:rsidR="00211494" w:rsidRDefault="00211494" w:rsidP="00CD32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Univers">
    <w:altName w:val="Arial"/>
    <w:charset w:val="00"/>
    <w:family w:val="swiss"/>
    <w:pitch w:val="variable"/>
    <w:sig w:usb0="80000287" w:usb1="00000000" w:usb2="00000000" w:usb3="00000000" w:csb0="0000000F" w:csb1="00000000"/>
  </w:font>
  <w:font w:name="Tms Rmn">
    <w:panose1 w:val="02020603040505020304"/>
    <w:charset w:val="00"/>
    <w:family w:val="roman"/>
    <w:notTrueTyp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TTE1DA3978t00">
    <w:altName w:val="MS Mincho"/>
    <w:panose1 w:val="00000000000000000000"/>
    <w:charset w:val="80"/>
    <w:family w:val="auto"/>
    <w:notTrueType/>
    <w:pitch w:val="default"/>
    <w:sig w:usb0="00000001" w:usb1="08070000" w:usb2="00000010" w:usb3="00000000" w:csb0="00020000" w:csb1="00000000"/>
  </w:font>
  <w:font w:name="TTE2613388t00">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4356974"/>
      <w:docPartObj>
        <w:docPartGallery w:val="Page Numbers (Bottom of Page)"/>
        <w:docPartUnique/>
      </w:docPartObj>
    </w:sdtPr>
    <w:sdtEndPr>
      <w:rPr>
        <w:noProof/>
      </w:rPr>
    </w:sdtEndPr>
    <w:sdtContent>
      <w:p w:rsidR="001C25CC" w:rsidRDefault="001C25CC">
        <w:pPr>
          <w:pStyle w:val="Footer"/>
          <w:jc w:val="right"/>
        </w:pPr>
        <w:r>
          <w:fldChar w:fldCharType="begin"/>
        </w:r>
        <w:r>
          <w:instrText xml:space="preserve"> PAGE   \* MERGEFORMAT </w:instrText>
        </w:r>
        <w:r>
          <w:fldChar w:fldCharType="separate"/>
        </w:r>
        <w:r w:rsidR="00D81CF9">
          <w:rPr>
            <w:noProof/>
          </w:rPr>
          <w:t>3</w:t>
        </w:r>
        <w:r>
          <w:rPr>
            <w:noProof/>
          </w:rPr>
          <w:fldChar w:fldCharType="end"/>
        </w:r>
      </w:p>
    </w:sdtContent>
  </w:sdt>
  <w:p w:rsidR="001C25CC" w:rsidRDefault="001C25C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1494" w:rsidRDefault="00211494" w:rsidP="00CD3224">
      <w:pPr>
        <w:spacing w:after="0" w:line="240" w:lineRule="auto"/>
      </w:pPr>
      <w:r>
        <w:separator/>
      </w:r>
    </w:p>
  </w:footnote>
  <w:footnote w:type="continuationSeparator" w:id="0">
    <w:p w:rsidR="00211494" w:rsidRDefault="00211494" w:rsidP="00CD32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36162"/>
    <w:multiLevelType w:val="hybridMultilevel"/>
    <w:tmpl w:val="8F8EB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2613FD1"/>
    <w:multiLevelType w:val="hybridMultilevel"/>
    <w:tmpl w:val="DB5AB3D2"/>
    <w:lvl w:ilvl="0" w:tplc="A580AF12">
      <w:start w:val="1"/>
      <w:numFmt w:val="upperLetter"/>
      <w:lvlText w:val="%1)"/>
      <w:lvlJc w:val="left"/>
      <w:pPr>
        <w:ind w:left="720" w:hanging="360"/>
      </w:pPr>
      <w:rPr>
        <w:rFonts w:hint="default"/>
        <w:b w:val="0"/>
        <w:color w:val="00000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nsid w:val="1F246422"/>
    <w:multiLevelType w:val="hybridMultilevel"/>
    <w:tmpl w:val="2668C8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2485103"/>
    <w:multiLevelType w:val="hybridMultilevel"/>
    <w:tmpl w:val="5B18F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92E7DD2"/>
    <w:multiLevelType w:val="hybridMultilevel"/>
    <w:tmpl w:val="59A2F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9390D55"/>
    <w:multiLevelType w:val="hybridMultilevel"/>
    <w:tmpl w:val="3D625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A19547C"/>
    <w:multiLevelType w:val="hybridMultilevel"/>
    <w:tmpl w:val="A6824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3A5169A"/>
    <w:multiLevelType w:val="hybridMultilevel"/>
    <w:tmpl w:val="68A64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E33242A"/>
    <w:multiLevelType w:val="hybridMultilevel"/>
    <w:tmpl w:val="121E7C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0F65B6D"/>
    <w:multiLevelType w:val="hybridMultilevel"/>
    <w:tmpl w:val="7D7C6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7"/>
  </w:num>
  <w:num w:numId="6">
    <w:abstractNumId w:val="9"/>
  </w:num>
  <w:num w:numId="7">
    <w:abstractNumId w:val="6"/>
  </w:num>
  <w:num w:numId="8">
    <w:abstractNumId w:val="3"/>
  </w:num>
  <w:num w:numId="9">
    <w:abstractNumId w:val="4"/>
  </w:num>
  <w:num w:numId="10">
    <w:abstractNumId w:val="5"/>
  </w:num>
  <w:num w:numId="1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FD8"/>
    <w:rsid w:val="00133FD8"/>
    <w:rsid w:val="001C25CC"/>
    <w:rsid w:val="00211494"/>
    <w:rsid w:val="003438CB"/>
    <w:rsid w:val="00470C92"/>
    <w:rsid w:val="005336CA"/>
    <w:rsid w:val="006A49F8"/>
    <w:rsid w:val="00865626"/>
    <w:rsid w:val="00A4192A"/>
    <w:rsid w:val="00A62A8B"/>
    <w:rsid w:val="00BA4897"/>
    <w:rsid w:val="00BE5BC6"/>
    <w:rsid w:val="00CD3224"/>
    <w:rsid w:val="00D036A9"/>
    <w:rsid w:val="00D81CF9"/>
    <w:rsid w:val="00EB2DDD"/>
    <w:rsid w:val="00F95CC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33FD8"/>
    <w:pPr>
      <w:keepNext/>
      <w:keepLines/>
      <w:spacing w:before="480" w:after="0"/>
      <w:outlineLvl w:val="0"/>
    </w:pPr>
    <w:rPr>
      <w:rFonts w:ascii="Cambria" w:eastAsia="Times New Roman" w:hAnsi="Cambria" w:cs="Times New Roman"/>
      <w:b/>
      <w:bCs/>
      <w:color w:val="365F91"/>
      <w:sz w:val="28"/>
      <w:szCs w:val="28"/>
      <w:lang w:val="en-GB"/>
    </w:rPr>
  </w:style>
  <w:style w:type="paragraph" w:styleId="Heading2">
    <w:name w:val="heading 2"/>
    <w:basedOn w:val="Normal"/>
    <w:next w:val="Normal"/>
    <w:link w:val="Heading2Char"/>
    <w:qFormat/>
    <w:rsid w:val="00133FD8"/>
    <w:pPr>
      <w:keepNext/>
      <w:keepLines/>
      <w:spacing w:before="200" w:after="0"/>
      <w:outlineLvl w:val="1"/>
    </w:pPr>
    <w:rPr>
      <w:rFonts w:ascii="Cambria" w:eastAsia="Times New Roman" w:hAnsi="Cambria" w:cs="Times New Roman"/>
      <w:b/>
      <w:bCs/>
      <w:color w:val="4F81BD"/>
      <w:sz w:val="26"/>
      <w:szCs w:val="26"/>
      <w:lang w:val="en-GB"/>
    </w:rPr>
  </w:style>
  <w:style w:type="paragraph" w:styleId="Heading3">
    <w:name w:val="heading 3"/>
    <w:basedOn w:val="Normal"/>
    <w:next w:val="Normal"/>
    <w:link w:val="Heading3Char"/>
    <w:uiPriority w:val="9"/>
    <w:unhideWhenUsed/>
    <w:qFormat/>
    <w:rsid w:val="00133FD8"/>
    <w:pPr>
      <w:keepNext/>
      <w:keepLines/>
      <w:spacing w:before="200" w:after="0"/>
      <w:outlineLvl w:val="2"/>
    </w:pPr>
    <w:rPr>
      <w:rFonts w:asciiTheme="majorHAnsi" w:eastAsiaTheme="majorEastAsia" w:hAnsiTheme="majorHAnsi" w:cstheme="majorBidi"/>
      <w:b/>
      <w:bCs/>
      <w:color w:val="4F81BD" w:themeColor="accent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3FD8"/>
    <w:rPr>
      <w:rFonts w:ascii="Cambria" w:eastAsia="Times New Roman" w:hAnsi="Cambria" w:cs="Times New Roman"/>
      <w:b/>
      <w:bCs/>
      <w:color w:val="365F91"/>
      <w:sz w:val="28"/>
      <w:szCs w:val="28"/>
      <w:lang w:val="en-GB"/>
    </w:rPr>
  </w:style>
  <w:style w:type="character" w:customStyle="1" w:styleId="Heading2Char">
    <w:name w:val="Heading 2 Char"/>
    <w:basedOn w:val="DefaultParagraphFont"/>
    <w:link w:val="Heading2"/>
    <w:rsid w:val="00133FD8"/>
    <w:rPr>
      <w:rFonts w:ascii="Cambria" w:eastAsia="Times New Roman" w:hAnsi="Cambria" w:cs="Times New Roman"/>
      <w:b/>
      <w:bCs/>
      <w:color w:val="4F81BD"/>
      <w:sz w:val="26"/>
      <w:szCs w:val="26"/>
      <w:lang w:val="en-GB"/>
    </w:rPr>
  </w:style>
  <w:style w:type="character" w:customStyle="1" w:styleId="Heading3Char">
    <w:name w:val="Heading 3 Char"/>
    <w:basedOn w:val="DefaultParagraphFont"/>
    <w:link w:val="Heading3"/>
    <w:uiPriority w:val="9"/>
    <w:rsid w:val="00133FD8"/>
    <w:rPr>
      <w:rFonts w:asciiTheme="majorHAnsi" w:eastAsiaTheme="majorEastAsia" w:hAnsiTheme="majorHAnsi" w:cstheme="majorBidi"/>
      <w:b/>
      <w:bCs/>
      <w:color w:val="4F81BD" w:themeColor="accent1"/>
      <w:lang w:val="en-GB"/>
    </w:rPr>
  </w:style>
  <w:style w:type="numbering" w:customStyle="1" w:styleId="NoList1">
    <w:name w:val="No List1"/>
    <w:next w:val="NoList"/>
    <w:uiPriority w:val="99"/>
    <w:semiHidden/>
    <w:unhideWhenUsed/>
    <w:rsid w:val="00133FD8"/>
  </w:style>
  <w:style w:type="paragraph" w:styleId="ListParagraph">
    <w:name w:val="List Paragraph"/>
    <w:basedOn w:val="Normal"/>
    <w:uiPriority w:val="34"/>
    <w:qFormat/>
    <w:rsid w:val="00133FD8"/>
    <w:pPr>
      <w:spacing w:after="0" w:line="240" w:lineRule="auto"/>
      <w:ind w:left="720"/>
      <w:contextualSpacing/>
    </w:pPr>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unhideWhenUsed/>
    <w:rsid w:val="00133FD8"/>
    <w:pPr>
      <w:spacing w:after="0" w:line="240" w:lineRule="auto"/>
    </w:pPr>
    <w:rPr>
      <w:rFonts w:ascii="Tahoma" w:eastAsia="Times New Roman" w:hAnsi="Tahoma" w:cs="Tahoma"/>
      <w:sz w:val="16"/>
      <w:szCs w:val="16"/>
      <w:lang w:val="en-GB" w:eastAsia="en-GB"/>
    </w:rPr>
  </w:style>
  <w:style w:type="character" w:customStyle="1" w:styleId="BalloonTextChar">
    <w:name w:val="Balloon Text Char"/>
    <w:basedOn w:val="DefaultParagraphFont"/>
    <w:link w:val="BalloonText"/>
    <w:uiPriority w:val="99"/>
    <w:rsid w:val="00133FD8"/>
    <w:rPr>
      <w:rFonts w:ascii="Tahoma" w:eastAsia="Times New Roman" w:hAnsi="Tahoma" w:cs="Tahoma"/>
      <w:sz w:val="16"/>
      <w:szCs w:val="16"/>
      <w:lang w:val="en-GB" w:eastAsia="en-GB"/>
    </w:rPr>
  </w:style>
  <w:style w:type="paragraph" w:customStyle="1" w:styleId="Para">
    <w:name w:val="Para"/>
    <w:basedOn w:val="Normal"/>
    <w:rsid w:val="00133FD8"/>
    <w:pPr>
      <w:tabs>
        <w:tab w:val="left" w:pos="576"/>
      </w:tabs>
      <w:spacing w:after="120" w:line="240" w:lineRule="auto"/>
      <w:ind w:left="576" w:hanging="576"/>
    </w:pPr>
    <w:rPr>
      <w:rFonts w:ascii="Times New Roman" w:eastAsia="Calibri" w:hAnsi="Times New Roman" w:cs="Times New Roman"/>
      <w:sz w:val="20"/>
      <w:szCs w:val="20"/>
      <w:lang w:val="en-GB" w:eastAsia="en-IE"/>
    </w:rPr>
  </w:style>
  <w:style w:type="table" w:styleId="TableGrid">
    <w:name w:val="Table Grid"/>
    <w:basedOn w:val="TableNormal"/>
    <w:uiPriority w:val="59"/>
    <w:rsid w:val="00133F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33FD8"/>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133FD8"/>
    <w:rPr>
      <w:rFonts w:ascii="Calibri" w:hAnsi="Calibri"/>
      <w:szCs w:val="21"/>
    </w:rPr>
  </w:style>
  <w:style w:type="character" w:styleId="CommentReference">
    <w:name w:val="annotation reference"/>
    <w:basedOn w:val="DefaultParagraphFont"/>
    <w:uiPriority w:val="99"/>
    <w:unhideWhenUsed/>
    <w:rsid w:val="00133FD8"/>
    <w:rPr>
      <w:sz w:val="16"/>
      <w:szCs w:val="16"/>
    </w:rPr>
  </w:style>
  <w:style w:type="paragraph" w:styleId="CommentText">
    <w:name w:val="annotation text"/>
    <w:basedOn w:val="Normal"/>
    <w:link w:val="CommentTextChar"/>
    <w:uiPriority w:val="99"/>
    <w:unhideWhenUsed/>
    <w:rsid w:val="00133FD8"/>
    <w:pPr>
      <w:spacing w:line="240" w:lineRule="auto"/>
    </w:pPr>
    <w:rPr>
      <w:sz w:val="20"/>
      <w:szCs w:val="20"/>
    </w:rPr>
  </w:style>
  <w:style w:type="character" w:customStyle="1" w:styleId="CommentTextChar">
    <w:name w:val="Comment Text Char"/>
    <w:basedOn w:val="DefaultParagraphFont"/>
    <w:link w:val="CommentText"/>
    <w:uiPriority w:val="99"/>
    <w:rsid w:val="00133FD8"/>
    <w:rPr>
      <w:sz w:val="20"/>
      <w:szCs w:val="20"/>
    </w:rPr>
  </w:style>
  <w:style w:type="paragraph" w:styleId="BodyText2">
    <w:name w:val="Body Text 2"/>
    <w:basedOn w:val="Normal"/>
    <w:link w:val="BodyText2Char"/>
    <w:unhideWhenUsed/>
    <w:rsid w:val="00133FD8"/>
    <w:pPr>
      <w:jc w:val="both"/>
    </w:pPr>
  </w:style>
  <w:style w:type="character" w:customStyle="1" w:styleId="BodyText2Char">
    <w:name w:val="Body Text 2 Char"/>
    <w:basedOn w:val="DefaultParagraphFont"/>
    <w:link w:val="BodyText2"/>
    <w:rsid w:val="00133FD8"/>
  </w:style>
  <w:style w:type="paragraph" w:customStyle="1" w:styleId="Default">
    <w:name w:val="Default"/>
    <w:rsid w:val="00133FD8"/>
    <w:pPr>
      <w:autoSpaceDE w:val="0"/>
      <w:autoSpaceDN w:val="0"/>
      <w:adjustRightInd w:val="0"/>
      <w:spacing w:after="0" w:line="240" w:lineRule="auto"/>
    </w:pPr>
    <w:rPr>
      <w:rFonts w:ascii="Calibri" w:eastAsia="Calibri" w:hAnsi="Calibri" w:cs="Calibri"/>
      <w:color w:val="000000"/>
      <w:sz w:val="24"/>
      <w:szCs w:val="24"/>
    </w:rPr>
  </w:style>
  <w:style w:type="character" w:styleId="Hyperlink">
    <w:name w:val="Hyperlink"/>
    <w:basedOn w:val="DefaultParagraphFont"/>
    <w:uiPriority w:val="99"/>
    <w:unhideWhenUsed/>
    <w:rsid w:val="00133FD8"/>
    <w:rPr>
      <w:color w:val="0000FF" w:themeColor="hyperlink"/>
      <w:u w:val="single"/>
    </w:rPr>
  </w:style>
  <w:style w:type="paragraph" w:styleId="CommentSubject">
    <w:name w:val="annotation subject"/>
    <w:basedOn w:val="CommentText"/>
    <w:next w:val="CommentText"/>
    <w:link w:val="CommentSubjectChar"/>
    <w:uiPriority w:val="99"/>
    <w:unhideWhenUsed/>
    <w:rsid w:val="00133FD8"/>
    <w:rPr>
      <w:b/>
      <w:bCs/>
      <w:lang w:val="en-GB"/>
    </w:rPr>
  </w:style>
  <w:style w:type="character" w:customStyle="1" w:styleId="CommentSubjectChar">
    <w:name w:val="Comment Subject Char"/>
    <w:basedOn w:val="CommentTextChar"/>
    <w:link w:val="CommentSubject"/>
    <w:uiPriority w:val="99"/>
    <w:rsid w:val="00133FD8"/>
    <w:rPr>
      <w:b/>
      <w:bCs/>
      <w:sz w:val="20"/>
      <w:szCs w:val="20"/>
      <w:lang w:val="en-GB"/>
    </w:rPr>
  </w:style>
  <w:style w:type="paragraph" w:styleId="Revision">
    <w:name w:val="Revision"/>
    <w:hidden/>
    <w:uiPriority w:val="99"/>
    <w:semiHidden/>
    <w:rsid w:val="00133FD8"/>
    <w:pPr>
      <w:spacing w:after="0" w:line="240" w:lineRule="auto"/>
    </w:pPr>
    <w:rPr>
      <w:lang w:val="en-GB"/>
    </w:rPr>
  </w:style>
  <w:style w:type="paragraph" w:styleId="Header">
    <w:name w:val="header"/>
    <w:basedOn w:val="Normal"/>
    <w:link w:val="HeaderChar"/>
    <w:unhideWhenUsed/>
    <w:rsid w:val="00133FD8"/>
    <w:pPr>
      <w:tabs>
        <w:tab w:val="center" w:pos="4513"/>
        <w:tab w:val="right" w:pos="9026"/>
      </w:tabs>
      <w:spacing w:after="0" w:line="240" w:lineRule="auto"/>
    </w:pPr>
  </w:style>
  <w:style w:type="character" w:customStyle="1" w:styleId="HeaderChar">
    <w:name w:val="Header Char"/>
    <w:basedOn w:val="DefaultParagraphFont"/>
    <w:link w:val="Header"/>
    <w:rsid w:val="00133FD8"/>
  </w:style>
  <w:style w:type="paragraph" w:styleId="Footer">
    <w:name w:val="footer"/>
    <w:basedOn w:val="Normal"/>
    <w:link w:val="FooterChar"/>
    <w:uiPriority w:val="99"/>
    <w:unhideWhenUsed/>
    <w:rsid w:val="00133F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3FD8"/>
  </w:style>
  <w:style w:type="table" w:styleId="TableGrid1">
    <w:name w:val="Table Grid 1"/>
    <w:basedOn w:val="TableNormal"/>
    <w:rsid w:val="00133FD8"/>
    <w:pPr>
      <w:spacing w:after="0" w:line="240" w:lineRule="auto"/>
    </w:pPr>
    <w:rPr>
      <w:rFonts w:ascii="New York" w:eastAsia="Times New Roman" w:hAnsi="New York" w:cs="Times New Roman"/>
      <w:sz w:val="20"/>
      <w:szCs w:val="20"/>
      <w:lang w:eastAsia="en-I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OCHeading">
    <w:name w:val="TOC Heading"/>
    <w:basedOn w:val="Heading1"/>
    <w:next w:val="Normal"/>
    <w:uiPriority w:val="39"/>
    <w:semiHidden/>
    <w:unhideWhenUsed/>
    <w:qFormat/>
    <w:rsid w:val="00133FD8"/>
    <w:pPr>
      <w:outlineLvl w:val="9"/>
    </w:pPr>
    <w:rPr>
      <w:rFonts w:asciiTheme="majorHAnsi" w:eastAsiaTheme="majorEastAsia" w:hAnsiTheme="majorHAnsi" w:cstheme="majorBidi"/>
      <w:color w:val="365F91" w:themeColor="accent1" w:themeShade="BF"/>
      <w:lang w:val="en-US" w:eastAsia="ja-JP"/>
    </w:rPr>
  </w:style>
  <w:style w:type="paragraph" w:styleId="TOC2">
    <w:name w:val="toc 2"/>
    <w:basedOn w:val="Normal"/>
    <w:next w:val="Normal"/>
    <w:autoRedefine/>
    <w:uiPriority w:val="39"/>
    <w:unhideWhenUsed/>
    <w:qFormat/>
    <w:rsid w:val="00133FD8"/>
    <w:pPr>
      <w:spacing w:after="100"/>
      <w:ind w:left="220"/>
    </w:pPr>
    <w:rPr>
      <w:lang w:val="en-GB"/>
    </w:rPr>
  </w:style>
  <w:style w:type="paragraph" w:styleId="TOC1">
    <w:name w:val="toc 1"/>
    <w:basedOn w:val="Normal"/>
    <w:next w:val="Normal"/>
    <w:autoRedefine/>
    <w:uiPriority w:val="39"/>
    <w:unhideWhenUsed/>
    <w:qFormat/>
    <w:rsid w:val="00133FD8"/>
    <w:pPr>
      <w:spacing w:after="100"/>
    </w:pPr>
    <w:rPr>
      <w:lang w:val="en-GB"/>
    </w:rPr>
  </w:style>
  <w:style w:type="character" w:styleId="Emphasis">
    <w:name w:val="Emphasis"/>
    <w:basedOn w:val="DefaultParagraphFont"/>
    <w:uiPriority w:val="20"/>
    <w:qFormat/>
    <w:rsid w:val="00133FD8"/>
    <w:rPr>
      <w:i/>
      <w:iCs/>
    </w:rPr>
  </w:style>
  <w:style w:type="paragraph" w:customStyle="1" w:styleId="Projectdata">
    <w:name w:val="Project data"/>
    <w:basedOn w:val="Normal"/>
    <w:rsid w:val="00133FD8"/>
    <w:pPr>
      <w:spacing w:before="60" w:after="60" w:line="240" w:lineRule="auto"/>
    </w:pPr>
    <w:rPr>
      <w:rFonts w:ascii="Univers" w:eastAsia="Times New Roman" w:hAnsi="Univers" w:cs="Times New Roman"/>
      <w:sz w:val="20"/>
      <w:szCs w:val="20"/>
      <w:lang w:val="en-GB" w:eastAsia="fi-FI"/>
    </w:rPr>
  </w:style>
  <w:style w:type="paragraph" w:customStyle="1" w:styleId="Projectdatasubjects">
    <w:name w:val="Project data subjects"/>
    <w:basedOn w:val="Normal"/>
    <w:rsid w:val="00133FD8"/>
    <w:pPr>
      <w:spacing w:before="40" w:after="40" w:line="240" w:lineRule="auto"/>
    </w:pPr>
    <w:rPr>
      <w:rFonts w:ascii="Univers" w:eastAsia="Times New Roman" w:hAnsi="Univers" w:cs="Times New Roman"/>
      <w:b/>
      <w:sz w:val="20"/>
      <w:szCs w:val="20"/>
      <w:lang w:val="en-GB" w:eastAsia="fi-FI"/>
    </w:rPr>
  </w:style>
  <w:style w:type="paragraph" w:customStyle="1" w:styleId="Titleitems">
    <w:name w:val="Title items"/>
    <w:basedOn w:val="Normal"/>
    <w:rsid w:val="00133FD8"/>
    <w:pPr>
      <w:spacing w:before="240" w:after="0" w:line="240" w:lineRule="auto"/>
      <w:jc w:val="center"/>
    </w:pPr>
    <w:rPr>
      <w:rFonts w:ascii="Univers" w:eastAsia="Times New Roman" w:hAnsi="Univers" w:cs="Times New Roman"/>
      <w:sz w:val="24"/>
      <w:szCs w:val="20"/>
      <w:lang w:val="en-GB" w:eastAsia="fi-FI"/>
    </w:rPr>
  </w:style>
  <w:style w:type="paragraph" w:customStyle="1" w:styleId="Itemtitle">
    <w:name w:val="Item title"/>
    <w:basedOn w:val="Normal"/>
    <w:rsid w:val="00133FD8"/>
    <w:pPr>
      <w:spacing w:after="0" w:line="240" w:lineRule="auto"/>
      <w:jc w:val="center"/>
    </w:pPr>
    <w:rPr>
      <w:rFonts w:ascii="Univers" w:eastAsia="Times New Roman" w:hAnsi="Univers" w:cs="Times New Roman"/>
      <w:b/>
      <w:sz w:val="32"/>
      <w:szCs w:val="20"/>
      <w:lang w:val="en-GB" w:eastAsia="fi-FI"/>
    </w:rPr>
  </w:style>
  <w:style w:type="paragraph" w:customStyle="1" w:styleId="Typeofreport">
    <w:name w:val="Type of report"/>
    <w:basedOn w:val="Normal"/>
    <w:rsid w:val="00133FD8"/>
    <w:pPr>
      <w:spacing w:before="360" w:after="360" w:line="240" w:lineRule="auto"/>
      <w:jc w:val="center"/>
    </w:pPr>
    <w:rPr>
      <w:rFonts w:ascii="Univers" w:eastAsia="Times New Roman" w:hAnsi="Univers" w:cs="Times New Roman"/>
      <w:b/>
      <w:sz w:val="32"/>
      <w:szCs w:val="20"/>
      <w:lang w:val="en-GB" w:eastAsia="fi-FI"/>
    </w:rPr>
  </w:style>
  <w:style w:type="paragraph" w:customStyle="1" w:styleId="Nameofproject">
    <w:name w:val="Name of project"/>
    <w:basedOn w:val="Itemtitle"/>
    <w:rsid w:val="00133FD8"/>
    <w:pPr>
      <w:spacing w:after="720"/>
    </w:pPr>
  </w:style>
  <w:style w:type="character" w:styleId="PageNumber">
    <w:name w:val="page number"/>
    <w:basedOn w:val="DefaultParagraphFont"/>
    <w:rsid w:val="00133FD8"/>
    <w:rPr>
      <w:rFonts w:cs="Times New Roman"/>
    </w:rPr>
  </w:style>
  <w:style w:type="paragraph" w:styleId="BodyText">
    <w:name w:val="Body Text"/>
    <w:basedOn w:val="Normal"/>
    <w:link w:val="BodyTextChar"/>
    <w:rsid w:val="00133FD8"/>
    <w:pPr>
      <w:spacing w:after="0" w:line="240" w:lineRule="auto"/>
    </w:pPr>
    <w:rPr>
      <w:rFonts w:ascii="Tms Rmn" w:eastAsia="Times New Roman" w:hAnsi="Tms Rmn" w:cs="Times New Roman"/>
      <w:noProof/>
      <w:sz w:val="20"/>
      <w:szCs w:val="20"/>
      <w:lang w:val="en-GB" w:eastAsia="fi-FI"/>
    </w:rPr>
  </w:style>
  <w:style w:type="character" w:customStyle="1" w:styleId="BodyTextChar">
    <w:name w:val="Body Text Char"/>
    <w:basedOn w:val="DefaultParagraphFont"/>
    <w:link w:val="BodyText"/>
    <w:rsid w:val="00133FD8"/>
    <w:rPr>
      <w:rFonts w:ascii="Tms Rmn" w:eastAsia="Times New Roman" w:hAnsi="Tms Rmn" w:cs="Times New Roman"/>
      <w:noProof/>
      <w:sz w:val="20"/>
      <w:szCs w:val="20"/>
      <w:lang w:val="en-GB" w:eastAsia="fi-FI"/>
    </w:rPr>
  </w:style>
  <w:style w:type="table" w:customStyle="1" w:styleId="TableGrid10">
    <w:name w:val="Table Grid1"/>
    <w:basedOn w:val="TableNormal"/>
    <w:next w:val="TableGrid"/>
    <w:uiPriority w:val="59"/>
    <w:rsid w:val="00133FD8"/>
    <w:pPr>
      <w:spacing w:after="0" w:line="240" w:lineRule="auto"/>
    </w:pPr>
    <w:rPr>
      <w:rFonts w:ascii="Times New Roman" w:eastAsia="Times New Roman" w:hAnsi="Times New Roman" w:cs="Times New Roman"/>
      <w:sz w:val="20"/>
      <w:szCs w:val="20"/>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basedOn w:val="DefaultParagraphFont"/>
    <w:link w:val="FootnoteText"/>
    <w:uiPriority w:val="99"/>
    <w:semiHidden/>
    <w:rsid w:val="00133FD8"/>
    <w:rPr>
      <w:rFonts w:ascii="Times New Roman" w:eastAsia="Times New Roman" w:hAnsi="Times New Roman" w:cs="Times New Roman"/>
      <w:sz w:val="20"/>
      <w:szCs w:val="20"/>
      <w:lang w:eastAsia="en-GB"/>
    </w:rPr>
  </w:style>
  <w:style w:type="paragraph" w:styleId="FootnoteText">
    <w:name w:val="footnote text"/>
    <w:basedOn w:val="Normal"/>
    <w:link w:val="FootnoteTextChar"/>
    <w:uiPriority w:val="99"/>
    <w:semiHidden/>
    <w:rsid w:val="00133FD8"/>
    <w:pPr>
      <w:spacing w:after="0" w:line="240" w:lineRule="auto"/>
    </w:pPr>
    <w:rPr>
      <w:rFonts w:ascii="Times New Roman" w:eastAsia="Times New Roman" w:hAnsi="Times New Roman" w:cs="Times New Roman"/>
      <w:sz w:val="20"/>
      <w:szCs w:val="20"/>
      <w:lang w:eastAsia="en-GB"/>
    </w:rPr>
  </w:style>
  <w:style w:type="character" w:customStyle="1" w:styleId="FootnoteTextChar1">
    <w:name w:val="Footnote Text Char1"/>
    <w:basedOn w:val="DefaultParagraphFont"/>
    <w:uiPriority w:val="99"/>
    <w:semiHidden/>
    <w:rsid w:val="00133FD8"/>
    <w:rPr>
      <w:sz w:val="20"/>
      <w:szCs w:val="20"/>
    </w:rPr>
  </w:style>
  <w:style w:type="paragraph" w:styleId="Caption">
    <w:name w:val="caption"/>
    <w:basedOn w:val="Normal"/>
    <w:next w:val="Normal"/>
    <w:uiPriority w:val="99"/>
    <w:qFormat/>
    <w:rsid w:val="00133FD8"/>
    <w:pPr>
      <w:spacing w:after="0" w:line="240" w:lineRule="auto"/>
      <w:ind w:left="720" w:firstLine="720"/>
      <w:jc w:val="center"/>
    </w:pPr>
    <w:rPr>
      <w:rFonts w:ascii="Copperplate Gothic Bold" w:eastAsia="Times New Roman" w:hAnsi="Copperplate Gothic Bold" w:cs="Times New Roman"/>
      <w:b/>
      <w:sz w:val="24"/>
      <w:szCs w:val="24"/>
      <w:lang w:val="en-GB"/>
    </w:rPr>
  </w:style>
  <w:style w:type="paragraph" w:customStyle="1" w:styleId="a">
    <w:name w:val="_"/>
    <w:basedOn w:val="Normal"/>
    <w:uiPriority w:val="99"/>
    <w:rsid w:val="00133FD8"/>
    <w:pPr>
      <w:widowControl w:val="0"/>
      <w:spacing w:after="0" w:line="240" w:lineRule="auto"/>
      <w:ind w:left="430" w:hanging="430"/>
    </w:pPr>
    <w:rPr>
      <w:rFonts w:ascii="Arial" w:eastAsia="Times New Roman" w:hAnsi="Arial" w:cs="Times New Roman"/>
      <w:sz w:val="24"/>
      <w:szCs w:val="20"/>
      <w:lang w:val="en-US"/>
    </w:rPr>
  </w:style>
  <w:style w:type="paragraph" w:styleId="NormalWeb">
    <w:name w:val="Normal (Web)"/>
    <w:basedOn w:val="Normal"/>
    <w:uiPriority w:val="99"/>
    <w:unhideWhenUsed/>
    <w:rsid w:val="00133FD8"/>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HTMLCite">
    <w:name w:val="HTML Cite"/>
    <w:uiPriority w:val="99"/>
    <w:unhideWhenUsed/>
    <w:rsid w:val="00133FD8"/>
    <w:rPr>
      <w:i/>
      <w:iCs/>
    </w:rPr>
  </w:style>
  <w:style w:type="character" w:styleId="FollowedHyperlink">
    <w:name w:val="FollowedHyperlink"/>
    <w:uiPriority w:val="99"/>
    <w:rsid w:val="00133FD8"/>
    <w:rPr>
      <w:color w:val="800080"/>
      <w:u w:val="single"/>
    </w:rPr>
  </w:style>
  <w:style w:type="table" w:customStyle="1" w:styleId="TableGrid2">
    <w:name w:val="Table Grid2"/>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semiHidden/>
    <w:rsid w:val="00133FD8"/>
  </w:style>
  <w:style w:type="character" w:customStyle="1" w:styleId="st1">
    <w:name w:val="st1"/>
    <w:basedOn w:val="DefaultParagraphFont"/>
    <w:rsid w:val="00133FD8"/>
  </w:style>
  <w:style w:type="paragraph" w:styleId="TOC3">
    <w:name w:val="toc 3"/>
    <w:basedOn w:val="Normal"/>
    <w:next w:val="Normal"/>
    <w:autoRedefine/>
    <w:uiPriority w:val="39"/>
    <w:unhideWhenUsed/>
    <w:qFormat/>
    <w:rsid w:val="00133FD8"/>
    <w:pPr>
      <w:spacing w:after="100" w:line="240" w:lineRule="auto"/>
      <w:ind w:left="480"/>
    </w:pPr>
    <w:rPr>
      <w:rFonts w:ascii="Times New Roman" w:eastAsia="Times New Roman" w:hAnsi="Times New Roman" w:cs="Times New Roman"/>
      <w:sz w:val="24"/>
      <w:szCs w:val="24"/>
      <w:lang w:val="en-GB" w:eastAsia="en-GB"/>
    </w:rPr>
  </w:style>
  <w:style w:type="numbering" w:customStyle="1" w:styleId="NoList2">
    <w:name w:val="No List2"/>
    <w:next w:val="NoList"/>
    <w:uiPriority w:val="99"/>
    <w:semiHidden/>
    <w:unhideWhenUsed/>
    <w:rsid w:val="006A49F8"/>
  </w:style>
  <w:style w:type="numbering" w:customStyle="1" w:styleId="NoList12">
    <w:name w:val="No List12"/>
    <w:next w:val="NoList"/>
    <w:semiHidden/>
    <w:rsid w:val="006A49F8"/>
  </w:style>
  <w:style w:type="paragraph" w:styleId="Title">
    <w:name w:val="Title"/>
    <w:basedOn w:val="Normal"/>
    <w:next w:val="Normal"/>
    <w:link w:val="TitleChar"/>
    <w:uiPriority w:val="10"/>
    <w:qFormat/>
    <w:rsid w:val="001C25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C25CC"/>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33FD8"/>
    <w:pPr>
      <w:keepNext/>
      <w:keepLines/>
      <w:spacing w:before="480" w:after="0"/>
      <w:outlineLvl w:val="0"/>
    </w:pPr>
    <w:rPr>
      <w:rFonts w:ascii="Cambria" w:eastAsia="Times New Roman" w:hAnsi="Cambria" w:cs="Times New Roman"/>
      <w:b/>
      <w:bCs/>
      <w:color w:val="365F91"/>
      <w:sz w:val="28"/>
      <w:szCs w:val="28"/>
      <w:lang w:val="en-GB"/>
    </w:rPr>
  </w:style>
  <w:style w:type="paragraph" w:styleId="Heading2">
    <w:name w:val="heading 2"/>
    <w:basedOn w:val="Normal"/>
    <w:next w:val="Normal"/>
    <w:link w:val="Heading2Char"/>
    <w:qFormat/>
    <w:rsid w:val="00133FD8"/>
    <w:pPr>
      <w:keepNext/>
      <w:keepLines/>
      <w:spacing w:before="200" w:after="0"/>
      <w:outlineLvl w:val="1"/>
    </w:pPr>
    <w:rPr>
      <w:rFonts w:ascii="Cambria" w:eastAsia="Times New Roman" w:hAnsi="Cambria" w:cs="Times New Roman"/>
      <w:b/>
      <w:bCs/>
      <w:color w:val="4F81BD"/>
      <w:sz w:val="26"/>
      <w:szCs w:val="26"/>
      <w:lang w:val="en-GB"/>
    </w:rPr>
  </w:style>
  <w:style w:type="paragraph" w:styleId="Heading3">
    <w:name w:val="heading 3"/>
    <w:basedOn w:val="Normal"/>
    <w:next w:val="Normal"/>
    <w:link w:val="Heading3Char"/>
    <w:uiPriority w:val="9"/>
    <w:unhideWhenUsed/>
    <w:qFormat/>
    <w:rsid w:val="00133FD8"/>
    <w:pPr>
      <w:keepNext/>
      <w:keepLines/>
      <w:spacing w:before="200" w:after="0"/>
      <w:outlineLvl w:val="2"/>
    </w:pPr>
    <w:rPr>
      <w:rFonts w:asciiTheme="majorHAnsi" w:eastAsiaTheme="majorEastAsia" w:hAnsiTheme="majorHAnsi" w:cstheme="majorBidi"/>
      <w:b/>
      <w:bCs/>
      <w:color w:val="4F81BD" w:themeColor="accent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3FD8"/>
    <w:rPr>
      <w:rFonts w:ascii="Cambria" w:eastAsia="Times New Roman" w:hAnsi="Cambria" w:cs="Times New Roman"/>
      <w:b/>
      <w:bCs/>
      <w:color w:val="365F91"/>
      <w:sz w:val="28"/>
      <w:szCs w:val="28"/>
      <w:lang w:val="en-GB"/>
    </w:rPr>
  </w:style>
  <w:style w:type="character" w:customStyle="1" w:styleId="Heading2Char">
    <w:name w:val="Heading 2 Char"/>
    <w:basedOn w:val="DefaultParagraphFont"/>
    <w:link w:val="Heading2"/>
    <w:rsid w:val="00133FD8"/>
    <w:rPr>
      <w:rFonts w:ascii="Cambria" w:eastAsia="Times New Roman" w:hAnsi="Cambria" w:cs="Times New Roman"/>
      <w:b/>
      <w:bCs/>
      <w:color w:val="4F81BD"/>
      <w:sz w:val="26"/>
      <w:szCs w:val="26"/>
      <w:lang w:val="en-GB"/>
    </w:rPr>
  </w:style>
  <w:style w:type="character" w:customStyle="1" w:styleId="Heading3Char">
    <w:name w:val="Heading 3 Char"/>
    <w:basedOn w:val="DefaultParagraphFont"/>
    <w:link w:val="Heading3"/>
    <w:uiPriority w:val="9"/>
    <w:rsid w:val="00133FD8"/>
    <w:rPr>
      <w:rFonts w:asciiTheme="majorHAnsi" w:eastAsiaTheme="majorEastAsia" w:hAnsiTheme="majorHAnsi" w:cstheme="majorBidi"/>
      <w:b/>
      <w:bCs/>
      <w:color w:val="4F81BD" w:themeColor="accent1"/>
      <w:lang w:val="en-GB"/>
    </w:rPr>
  </w:style>
  <w:style w:type="numbering" w:customStyle="1" w:styleId="NoList1">
    <w:name w:val="No List1"/>
    <w:next w:val="NoList"/>
    <w:uiPriority w:val="99"/>
    <w:semiHidden/>
    <w:unhideWhenUsed/>
    <w:rsid w:val="00133FD8"/>
  </w:style>
  <w:style w:type="paragraph" w:styleId="ListParagraph">
    <w:name w:val="List Paragraph"/>
    <w:basedOn w:val="Normal"/>
    <w:uiPriority w:val="34"/>
    <w:qFormat/>
    <w:rsid w:val="00133FD8"/>
    <w:pPr>
      <w:spacing w:after="0" w:line="240" w:lineRule="auto"/>
      <w:ind w:left="720"/>
      <w:contextualSpacing/>
    </w:pPr>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unhideWhenUsed/>
    <w:rsid w:val="00133FD8"/>
    <w:pPr>
      <w:spacing w:after="0" w:line="240" w:lineRule="auto"/>
    </w:pPr>
    <w:rPr>
      <w:rFonts w:ascii="Tahoma" w:eastAsia="Times New Roman" w:hAnsi="Tahoma" w:cs="Tahoma"/>
      <w:sz w:val="16"/>
      <w:szCs w:val="16"/>
      <w:lang w:val="en-GB" w:eastAsia="en-GB"/>
    </w:rPr>
  </w:style>
  <w:style w:type="character" w:customStyle="1" w:styleId="BalloonTextChar">
    <w:name w:val="Balloon Text Char"/>
    <w:basedOn w:val="DefaultParagraphFont"/>
    <w:link w:val="BalloonText"/>
    <w:uiPriority w:val="99"/>
    <w:rsid w:val="00133FD8"/>
    <w:rPr>
      <w:rFonts w:ascii="Tahoma" w:eastAsia="Times New Roman" w:hAnsi="Tahoma" w:cs="Tahoma"/>
      <w:sz w:val="16"/>
      <w:szCs w:val="16"/>
      <w:lang w:val="en-GB" w:eastAsia="en-GB"/>
    </w:rPr>
  </w:style>
  <w:style w:type="paragraph" w:customStyle="1" w:styleId="Para">
    <w:name w:val="Para"/>
    <w:basedOn w:val="Normal"/>
    <w:rsid w:val="00133FD8"/>
    <w:pPr>
      <w:tabs>
        <w:tab w:val="left" w:pos="576"/>
      </w:tabs>
      <w:spacing w:after="120" w:line="240" w:lineRule="auto"/>
      <w:ind w:left="576" w:hanging="576"/>
    </w:pPr>
    <w:rPr>
      <w:rFonts w:ascii="Times New Roman" w:eastAsia="Calibri" w:hAnsi="Times New Roman" w:cs="Times New Roman"/>
      <w:sz w:val="20"/>
      <w:szCs w:val="20"/>
      <w:lang w:val="en-GB" w:eastAsia="en-IE"/>
    </w:rPr>
  </w:style>
  <w:style w:type="table" w:styleId="TableGrid">
    <w:name w:val="Table Grid"/>
    <w:basedOn w:val="TableNormal"/>
    <w:uiPriority w:val="59"/>
    <w:rsid w:val="00133F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33FD8"/>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133FD8"/>
    <w:rPr>
      <w:rFonts w:ascii="Calibri" w:hAnsi="Calibri"/>
      <w:szCs w:val="21"/>
    </w:rPr>
  </w:style>
  <w:style w:type="character" w:styleId="CommentReference">
    <w:name w:val="annotation reference"/>
    <w:basedOn w:val="DefaultParagraphFont"/>
    <w:uiPriority w:val="99"/>
    <w:unhideWhenUsed/>
    <w:rsid w:val="00133FD8"/>
    <w:rPr>
      <w:sz w:val="16"/>
      <w:szCs w:val="16"/>
    </w:rPr>
  </w:style>
  <w:style w:type="paragraph" w:styleId="CommentText">
    <w:name w:val="annotation text"/>
    <w:basedOn w:val="Normal"/>
    <w:link w:val="CommentTextChar"/>
    <w:uiPriority w:val="99"/>
    <w:unhideWhenUsed/>
    <w:rsid w:val="00133FD8"/>
    <w:pPr>
      <w:spacing w:line="240" w:lineRule="auto"/>
    </w:pPr>
    <w:rPr>
      <w:sz w:val="20"/>
      <w:szCs w:val="20"/>
    </w:rPr>
  </w:style>
  <w:style w:type="character" w:customStyle="1" w:styleId="CommentTextChar">
    <w:name w:val="Comment Text Char"/>
    <w:basedOn w:val="DefaultParagraphFont"/>
    <w:link w:val="CommentText"/>
    <w:uiPriority w:val="99"/>
    <w:rsid w:val="00133FD8"/>
    <w:rPr>
      <w:sz w:val="20"/>
      <w:szCs w:val="20"/>
    </w:rPr>
  </w:style>
  <w:style w:type="paragraph" w:styleId="BodyText2">
    <w:name w:val="Body Text 2"/>
    <w:basedOn w:val="Normal"/>
    <w:link w:val="BodyText2Char"/>
    <w:unhideWhenUsed/>
    <w:rsid w:val="00133FD8"/>
    <w:pPr>
      <w:jc w:val="both"/>
    </w:pPr>
  </w:style>
  <w:style w:type="character" w:customStyle="1" w:styleId="BodyText2Char">
    <w:name w:val="Body Text 2 Char"/>
    <w:basedOn w:val="DefaultParagraphFont"/>
    <w:link w:val="BodyText2"/>
    <w:rsid w:val="00133FD8"/>
  </w:style>
  <w:style w:type="paragraph" w:customStyle="1" w:styleId="Default">
    <w:name w:val="Default"/>
    <w:rsid w:val="00133FD8"/>
    <w:pPr>
      <w:autoSpaceDE w:val="0"/>
      <w:autoSpaceDN w:val="0"/>
      <w:adjustRightInd w:val="0"/>
      <w:spacing w:after="0" w:line="240" w:lineRule="auto"/>
    </w:pPr>
    <w:rPr>
      <w:rFonts w:ascii="Calibri" w:eastAsia="Calibri" w:hAnsi="Calibri" w:cs="Calibri"/>
      <w:color w:val="000000"/>
      <w:sz w:val="24"/>
      <w:szCs w:val="24"/>
    </w:rPr>
  </w:style>
  <w:style w:type="character" w:styleId="Hyperlink">
    <w:name w:val="Hyperlink"/>
    <w:basedOn w:val="DefaultParagraphFont"/>
    <w:uiPriority w:val="99"/>
    <w:unhideWhenUsed/>
    <w:rsid w:val="00133FD8"/>
    <w:rPr>
      <w:color w:val="0000FF" w:themeColor="hyperlink"/>
      <w:u w:val="single"/>
    </w:rPr>
  </w:style>
  <w:style w:type="paragraph" w:styleId="CommentSubject">
    <w:name w:val="annotation subject"/>
    <w:basedOn w:val="CommentText"/>
    <w:next w:val="CommentText"/>
    <w:link w:val="CommentSubjectChar"/>
    <w:uiPriority w:val="99"/>
    <w:unhideWhenUsed/>
    <w:rsid w:val="00133FD8"/>
    <w:rPr>
      <w:b/>
      <w:bCs/>
      <w:lang w:val="en-GB"/>
    </w:rPr>
  </w:style>
  <w:style w:type="character" w:customStyle="1" w:styleId="CommentSubjectChar">
    <w:name w:val="Comment Subject Char"/>
    <w:basedOn w:val="CommentTextChar"/>
    <w:link w:val="CommentSubject"/>
    <w:uiPriority w:val="99"/>
    <w:rsid w:val="00133FD8"/>
    <w:rPr>
      <w:b/>
      <w:bCs/>
      <w:sz w:val="20"/>
      <w:szCs w:val="20"/>
      <w:lang w:val="en-GB"/>
    </w:rPr>
  </w:style>
  <w:style w:type="paragraph" w:styleId="Revision">
    <w:name w:val="Revision"/>
    <w:hidden/>
    <w:uiPriority w:val="99"/>
    <w:semiHidden/>
    <w:rsid w:val="00133FD8"/>
    <w:pPr>
      <w:spacing w:after="0" w:line="240" w:lineRule="auto"/>
    </w:pPr>
    <w:rPr>
      <w:lang w:val="en-GB"/>
    </w:rPr>
  </w:style>
  <w:style w:type="paragraph" w:styleId="Header">
    <w:name w:val="header"/>
    <w:basedOn w:val="Normal"/>
    <w:link w:val="HeaderChar"/>
    <w:unhideWhenUsed/>
    <w:rsid w:val="00133FD8"/>
    <w:pPr>
      <w:tabs>
        <w:tab w:val="center" w:pos="4513"/>
        <w:tab w:val="right" w:pos="9026"/>
      </w:tabs>
      <w:spacing w:after="0" w:line="240" w:lineRule="auto"/>
    </w:pPr>
  </w:style>
  <w:style w:type="character" w:customStyle="1" w:styleId="HeaderChar">
    <w:name w:val="Header Char"/>
    <w:basedOn w:val="DefaultParagraphFont"/>
    <w:link w:val="Header"/>
    <w:rsid w:val="00133FD8"/>
  </w:style>
  <w:style w:type="paragraph" w:styleId="Footer">
    <w:name w:val="footer"/>
    <w:basedOn w:val="Normal"/>
    <w:link w:val="FooterChar"/>
    <w:uiPriority w:val="99"/>
    <w:unhideWhenUsed/>
    <w:rsid w:val="00133F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3FD8"/>
  </w:style>
  <w:style w:type="table" w:styleId="TableGrid1">
    <w:name w:val="Table Grid 1"/>
    <w:basedOn w:val="TableNormal"/>
    <w:rsid w:val="00133FD8"/>
    <w:pPr>
      <w:spacing w:after="0" w:line="240" w:lineRule="auto"/>
    </w:pPr>
    <w:rPr>
      <w:rFonts w:ascii="New York" w:eastAsia="Times New Roman" w:hAnsi="New York" w:cs="Times New Roman"/>
      <w:sz w:val="20"/>
      <w:szCs w:val="20"/>
      <w:lang w:eastAsia="en-I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OCHeading">
    <w:name w:val="TOC Heading"/>
    <w:basedOn w:val="Heading1"/>
    <w:next w:val="Normal"/>
    <w:uiPriority w:val="39"/>
    <w:semiHidden/>
    <w:unhideWhenUsed/>
    <w:qFormat/>
    <w:rsid w:val="00133FD8"/>
    <w:pPr>
      <w:outlineLvl w:val="9"/>
    </w:pPr>
    <w:rPr>
      <w:rFonts w:asciiTheme="majorHAnsi" w:eastAsiaTheme="majorEastAsia" w:hAnsiTheme="majorHAnsi" w:cstheme="majorBidi"/>
      <w:color w:val="365F91" w:themeColor="accent1" w:themeShade="BF"/>
      <w:lang w:val="en-US" w:eastAsia="ja-JP"/>
    </w:rPr>
  </w:style>
  <w:style w:type="paragraph" w:styleId="TOC2">
    <w:name w:val="toc 2"/>
    <w:basedOn w:val="Normal"/>
    <w:next w:val="Normal"/>
    <w:autoRedefine/>
    <w:uiPriority w:val="39"/>
    <w:unhideWhenUsed/>
    <w:qFormat/>
    <w:rsid w:val="00133FD8"/>
    <w:pPr>
      <w:spacing w:after="100"/>
      <w:ind w:left="220"/>
    </w:pPr>
    <w:rPr>
      <w:lang w:val="en-GB"/>
    </w:rPr>
  </w:style>
  <w:style w:type="paragraph" w:styleId="TOC1">
    <w:name w:val="toc 1"/>
    <w:basedOn w:val="Normal"/>
    <w:next w:val="Normal"/>
    <w:autoRedefine/>
    <w:uiPriority w:val="39"/>
    <w:unhideWhenUsed/>
    <w:qFormat/>
    <w:rsid w:val="00133FD8"/>
    <w:pPr>
      <w:spacing w:after="100"/>
    </w:pPr>
    <w:rPr>
      <w:lang w:val="en-GB"/>
    </w:rPr>
  </w:style>
  <w:style w:type="character" w:styleId="Emphasis">
    <w:name w:val="Emphasis"/>
    <w:basedOn w:val="DefaultParagraphFont"/>
    <w:uiPriority w:val="20"/>
    <w:qFormat/>
    <w:rsid w:val="00133FD8"/>
    <w:rPr>
      <w:i/>
      <w:iCs/>
    </w:rPr>
  </w:style>
  <w:style w:type="paragraph" w:customStyle="1" w:styleId="Projectdata">
    <w:name w:val="Project data"/>
    <w:basedOn w:val="Normal"/>
    <w:rsid w:val="00133FD8"/>
    <w:pPr>
      <w:spacing w:before="60" w:after="60" w:line="240" w:lineRule="auto"/>
    </w:pPr>
    <w:rPr>
      <w:rFonts w:ascii="Univers" w:eastAsia="Times New Roman" w:hAnsi="Univers" w:cs="Times New Roman"/>
      <w:sz w:val="20"/>
      <w:szCs w:val="20"/>
      <w:lang w:val="en-GB" w:eastAsia="fi-FI"/>
    </w:rPr>
  </w:style>
  <w:style w:type="paragraph" w:customStyle="1" w:styleId="Projectdatasubjects">
    <w:name w:val="Project data subjects"/>
    <w:basedOn w:val="Normal"/>
    <w:rsid w:val="00133FD8"/>
    <w:pPr>
      <w:spacing w:before="40" w:after="40" w:line="240" w:lineRule="auto"/>
    </w:pPr>
    <w:rPr>
      <w:rFonts w:ascii="Univers" w:eastAsia="Times New Roman" w:hAnsi="Univers" w:cs="Times New Roman"/>
      <w:b/>
      <w:sz w:val="20"/>
      <w:szCs w:val="20"/>
      <w:lang w:val="en-GB" w:eastAsia="fi-FI"/>
    </w:rPr>
  </w:style>
  <w:style w:type="paragraph" w:customStyle="1" w:styleId="Titleitems">
    <w:name w:val="Title items"/>
    <w:basedOn w:val="Normal"/>
    <w:rsid w:val="00133FD8"/>
    <w:pPr>
      <w:spacing w:before="240" w:after="0" w:line="240" w:lineRule="auto"/>
      <w:jc w:val="center"/>
    </w:pPr>
    <w:rPr>
      <w:rFonts w:ascii="Univers" w:eastAsia="Times New Roman" w:hAnsi="Univers" w:cs="Times New Roman"/>
      <w:sz w:val="24"/>
      <w:szCs w:val="20"/>
      <w:lang w:val="en-GB" w:eastAsia="fi-FI"/>
    </w:rPr>
  </w:style>
  <w:style w:type="paragraph" w:customStyle="1" w:styleId="Itemtitle">
    <w:name w:val="Item title"/>
    <w:basedOn w:val="Normal"/>
    <w:rsid w:val="00133FD8"/>
    <w:pPr>
      <w:spacing w:after="0" w:line="240" w:lineRule="auto"/>
      <w:jc w:val="center"/>
    </w:pPr>
    <w:rPr>
      <w:rFonts w:ascii="Univers" w:eastAsia="Times New Roman" w:hAnsi="Univers" w:cs="Times New Roman"/>
      <w:b/>
      <w:sz w:val="32"/>
      <w:szCs w:val="20"/>
      <w:lang w:val="en-GB" w:eastAsia="fi-FI"/>
    </w:rPr>
  </w:style>
  <w:style w:type="paragraph" w:customStyle="1" w:styleId="Typeofreport">
    <w:name w:val="Type of report"/>
    <w:basedOn w:val="Normal"/>
    <w:rsid w:val="00133FD8"/>
    <w:pPr>
      <w:spacing w:before="360" w:after="360" w:line="240" w:lineRule="auto"/>
      <w:jc w:val="center"/>
    </w:pPr>
    <w:rPr>
      <w:rFonts w:ascii="Univers" w:eastAsia="Times New Roman" w:hAnsi="Univers" w:cs="Times New Roman"/>
      <w:b/>
      <w:sz w:val="32"/>
      <w:szCs w:val="20"/>
      <w:lang w:val="en-GB" w:eastAsia="fi-FI"/>
    </w:rPr>
  </w:style>
  <w:style w:type="paragraph" w:customStyle="1" w:styleId="Nameofproject">
    <w:name w:val="Name of project"/>
    <w:basedOn w:val="Itemtitle"/>
    <w:rsid w:val="00133FD8"/>
    <w:pPr>
      <w:spacing w:after="720"/>
    </w:pPr>
  </w:style>
  <w:style w:type="character" w:styleId="PageNumber">
    <w:name w:val="page number"/>
    <w:basedOn w:val="DefaultParagraphFont"/>
    <w:rsid w:val="00133FD8"/>
    <w:rPr>
      <w:rFonts w:cs="Times New Roman"/>
    </w:rPr>
  </w:style>
  <w:style w:type="paragraph" w:styleId="BodyText">
    <w:name w:val="Body Text"/>
    <w:basedOn w:val="Normal"/>
    <w:link w:val="BodyTextChar"/>
    <w:rsid w:val="00133FD8"/>
    <w:pPr>
      <w:spacing w:after="0" w:line="240" w:lineRule="auto"/>
    </w:pPr>
    <w:rPr>
      <w:rFonts w:ascii="Tms Rmn" w:eastAsia="Times New Roman" w:hAnsi="Tms Rmn" w:cs="Times New Roman"/>
      <w:noProof/>
      <w:sz w:val="20"/>
      <w:szCs w:val="20"/>
      <w:lang w:val="en-GB" w:eastAsia="fi-FI"/>
    </w:rPr>
  </w:style>
  <w:style w:type="character" w:customStyle="1" w:styleId="BodyTextChar">
    <w:name w:val="Body Text Char"/>
    <w:basedOn w:val="DefaultParagraphFont"/>
    <w:link w:val="BodyText"/>
    <w:rsid w:val="00133FD8"/>
    <w:rPr>
      <w:rFonts w:ascii="Tms Rmn" w:eastAsia="Times New Roman" w:hAnsi="Tms Rmn" w:cs="Times New Roman"/>
      <w:noProof/>
      <w:sz w:val="20"/>
      <w:szCs w:val="20"/>
      <w:lang w:val="en-GB" w:eastAsia="fi-FI"/>
    </w:rPr>
  </w:style>
  <w:style w:type="table" w:customStyle="1" w:styleId="TableGrid10">
    <w:name w:val="Table Grid1"/>
    <w:basedOn w:val="TableNormal"/>
    <w:next w:val="TableGrid"/>
    <w:uiPriority w:val="59"/>
    <w:rsid w:val="00133FD8"/>
    <w:pPr>
      <w:spacing w:after="0" w:line="240" w:lineRule="auto"/>
    </w:pPr>
    <w:rPr>
      <w:rFonts w:ascii="Times New Roman" w:eastAsia="Times New Roman" w:hAnsi="Times New Roman" w:cs="Times New Roman"/>
      <w:sz w:val="20"/>
      <w:szCs w:val="20"/>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basedOn w:val="DefaultParagraphFont"/>
    <w:link w:val="FootnoteText"/>
    <w:uiPriority w:val="99"/>
    <w:semiHidden/>
    <w:rsid w:val="00133FD8"/>
    <w:rPr>
      <w:rFonts w:ascii="Times New Roman" w:eastAsia="Times New Roman" w:hAnsi="Times New Roman" w:cs="Times New Roman"/>
      <w:sz w:val="20"/>
      <w:szCs w:val="20"/>
      <w:lang w:eastAsia="en-GB"/>
    </w:rPr>
  </w:style>
  <w:style w:type="paragraph" w:styleId="FootnoteText">
    <w:name w:val="footnote text"/>
    <w:basedOn w:val="Normal"/>
    <w:link w:val="FootnoteTextChar"/>
    <w:uiPriority w:val="99"/>
    <w:semiHidden/>
    <w:rsid w:val="00133FD8"/>
    <w:pPr>
      <w:spacing w:after="0" w:line="240" w:lineRule="auto"/>
    </w:pPr>
    <w:rPr>
      <w:rFonts w:ascii="Times New Roman" w:eastAsia="Times New Roman" w:hAnsi="Times New Roman" w:cs="Times New Roman"/>
      <w:sz w:val="20"/>
      <w:szCs w:val="20"/>
      <w:lang w:eastAsia="en-GB"/>
    </w:rPr>
  </w:style>
  <w:style w:type="character" w:customStyle="1" w:styleId="FootnoteTextChar1">
    <w:name w:val="Footnote Text Char1"/>
    <w:basedOn w:val="DefaultParagraphFont"/>
    <w:uiPriority w:val="99"/>
    <w:semiHidden/>
    <w:rsid w:val="00133FD8"/>
    <w:rPr>
      <w:sz w:val="20"/>
      <w:szCs w:val="20"/>
    </w:rPr>
  </w:style>
  <w:style w:type="paragraph" w:styleId="Caption">
    <w:name w:val="caption"/>
    <w:basedOn w:val="Normal"/>
    <w:next w:val="Normal"/>
    <w:uiPriority w:val="99"/>
    <w:qFormat/>
    <w:rsid w:val="00133FD8"/>
    <w:pPr>
      <w:spacing w:after="0" w:line="240" w:lineRule="auto"/>
      <w:ind w:left="720" w:firstLine="720"/>
      <w:jc w:val="center"/>
    </w:pPr>
    <w:rPr>
      <w:rFonts w:ascii="Copperplate Gothic Bold" w:eastAsia="Times New Roman" w:hAnsi="Copperplate Gothic Bold" w:cs="Times New Roman"/>
      <w:b/>
      <w:sz w:val="24"/>
      <w:szCs w:val="24"/>
      <w:lang w:val="en-GB"/>
    </w:rPr>
  </w:style>
  <w:style w:type="paragraph" w:customStyle="1" w:styleId="a">
    <w:name w:val="_"/>
    <w:basedOn w:val="Normal"/>
    <w:uiPriority w:val="99"/>
    <w:rsid w:val="00133FD8"/>
    <w:pPr>
      <w:widowControl w:val="0"/>
      <w:spacing w:after="0" w:line="240" w:lineRule="auto"/>
      <w:ind w:left="430" w:hanging="430"/>
    </w:pPr>
    <w:rPr>
      <w:rFonts w:ascii="Arial" w:eastAsia="Times New Roman" w:hAnsi="Arial" w:cs="Times New Roman"/>
      <w:sz w:val="24"/>
      <w:szCs w:val="20"/>
      <w:lang w:val="en-US"/>
    </w:rPr>
  </w:style>
  <w:style w:type="paragraph" w:styleId="NormalWeb">
    <w:name w:val="Normal (Web)"/>
    <w:basedOn w:val="Normal"/>
    <w:uiPriority w:val="99"/>
    <w:unhideWhenUsed/>
    <w:rsid w:val="00133FD8"/>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HTMLCite">
    <w:name w:val="HTML Cite"/>
    <w:uiPriority w:val="99"/>
    <w:unhideWhenUsed/>
    <w:rsid w:val="00133FD8"/>
    <w:rPr>
      <w:i/>
      <w:iCs/>
    </w:rPr>
  </w:style>
  <w:style w:type="character" w:styleId="FollowedHyperlink">
    <w:name w:val="FollowedHyperlink"/>
    <w:uiPriority w:val="99"/>
    <w:rsid w:val="00133FD8"/>
    <w:rPr>
      <w:color w:val="800080"/>
      <w:u w:val="single"/>
    </w:rPr>
  </w:style>
  <w:style w:type="table" w:customStyle="1" w:styleId="TableGrid2">
    <w:name w:val="Table Grid2"/>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33FD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semiHidden/>
    <w:rsid w:val="00133FD8"/>
  </w:style>
  <w:style w:type="character" w:customStyle="1" w:styleId="st1">
    <w:name w:val="st1"/>
    <w:basedOn w:val="DefaultParagraphFont"/>
    <w:rsid w:val="00133FD8"/>
  </w:style>
  <w:style w:type="paragraph" w:styleId="TOC3">
    <w:name w:val="toc 3"/>
    <w:basedOn w:val="Normal"/>
    <w:next w:val="Normal"/>
    <w:autoRedefine/>
    <w:uiPriority w:val="39"/>
    <w:unhideWhenUsed/>
    <w:qFormat/>
    <w:rsid w:val="00133FD8"/>
    <w:pPr>
      <w:spacing w:after="100" w:line="240" w:lineRule="auto"/>
      <w:ind w:left="480"/>
    </w:pPr>
    <w:rPr>
      <w:rFonts w:ascii="Times New Roman" w:eastAsia="Times New Roman" w:hAnsi="Times New Roman" w:cs="Times New Roman"/>
      <w:sz w:val="24"/>
      <w:szCs w:val="24"/>
      <w:lang w:val="en-GB" w:eastAsia="en-GB"/>
    </w:rPr>
  </w:style>
  <w:style w:type="numbering" w:customStyle="1" w:styleId="NoList2">
    <w:name w:val="No List2"/>
    <w:next w:val="NoList"/>
    <w:uiPriority w:val="99"/>
    <w:semiHidden/>
    <w:unhideWhenUsed/>
    <w:rsid w:val="006A49F8"/>
  </w:style>
  <w:style w:type="numbering" w:customStyle="1" w:styleId="NoList12">
    <w:name w:val="No List12"/>
    <w:next w:val="NoList"/>
    <w:semiHidden/>
    <w:rsid w:val="006A49F8"/>
  </w:style>
  <w:style w:type="paragraph" w:styleId="Title">
    <w:name w:val="Title"/>
    <w:basedOn w:val="Normal"/>
    <w:next w:val="Normal"/>
    <w:link w:val="TitleChar"/>
    <w:uiPriority w:val="10"/>
    <w:qFormat/>
    <w:rsid w:val="001C25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C25CC"/>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chart" Target="charts/chart5.xml"/><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chart" Target="charts/chart3.xml"/><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6.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chart" Target="charts/chart1.xml"/><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jpeg"/><Relationship Id="rId31" Type="http://schemas.openxmlformats.org/officeDocument/2006/relationships/chart" Target="charts/chart4.xml"/><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5.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brownea.Amanda-PC\Favorites\Google%20Drive\Aran%20LIFE+\machair%20analysis\Machair%20releve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brownea.Amanda-PC\Favorites\Google%20Drive\Aran%20LIFE+\machair%20analysis\Machair%20releve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brownea.Amanda-PC\Favorites\Google%20Drive\Aran%20LIFE+\machair%20analysis\Machair%20releve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brownea.Amanda-PC\Favorites\Google%20Drive\Aran%20LIFE+\machair%20analysis\Machair%20releves.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brownea.Amanda-PC\Favorites\Google%20Drive\Aran%20LIFE+\machair%20analysis\Machair%20releves.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Average %cover of bryophytes in relevés within plots</a:t>
            </a:r>
          </a:p>
        </c:rich>
      </c:tx>
      <c:overlay val="0"/>
    </c:title>
    <c:autoTitleDeleted val="0"/>
    <c:plotArea>
      <c:layout/>
      <c:barChart>
        <c:barDir val="col"/>
        <c:grouping val="clustered"/>
        <c:varyColors val="0"/>
        <c:ser>
          <c:idx val="0"/>
          <c:order val="0"/>
          <c:tx>
            <c:strRef>
              <c:f>'variables v Plots'!$X$13</c:f>
              <c:strCache>
                <c:ptCount val="1"/>
                <c:pt idx="0">
                  <c:v>NSW</c:v>
                </c:pt>
              </c:strCache>
            </c:strRef>
          </c:tx>
          <c:invertIfNegative val="0"/>
          <c:cat>
            <c:strRef>
              <c:f>'variables v Plots'!$W$14:$W$21</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Plots'!$X$14:$X$21</c:f>
              <c:numCache>
                <c:formatCode>General</c:formatCode>
                <c:ptCount val="8"/>
                <c:pt idx="0">
                  <c:v>77.5</c:v>
                </c:pt>
                <c:pt idx="1">
                  <c:v>90</c:v>
                </c:pt>
                <c:pt idx="2">
                  <c:v>2.5</c:v>
                </c:pt>
                <c:pt idx="3">
                  <c:v>75</c:v>
                </c:pt>
                <c:pt idx="4">
                  <c:v>95</c:v>
                </c:pt>
                <c:pt idx="5">
                  <c:v>90</c:v>
                </c:pt>
                <c:pt idx="6">
                  <c:v>90</c:v>
                </c:pt>
                <c:pt idx="7">
                  <c:v>60</c:v>
                </c:pt>
              </c:numCache>
            </c:numRef>
          </c:val>
        </c:ser>
        <c:ser>
          <c:idx val="1"/>
          <c:order val="1"/>
          <c:tx>
            <c:strRef>
              <c:f>'variables v Plots'!$Y$13</c:f>
              <c:strCache>
                <c:ptCount val="1"/>
                <c:pt idx="0">
                  <c:v>SW</c:v>
                </c:pt>
              </c:strCache>
            </c:strRef>
          </c:tx>
          <c:invertIfNegative val="0"/>
          <c:cat>
            <c:strRef>
              <c:f>'variables v Plots'!$W$14:$W$21</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Plots'!$Y$14:$Y$21</c:f>
              <c:numCache>
                <c:formatCode>General</c:formatCode>
                <c:ptCount val="8"/>
                <c:pt idx="0">
                  <c:v>67.5</c:v>
                </c:pt>
                <c:pt idx="1">
                  <c:v>70</c:v>
                </c:pt>
                <c:pt idx="2">
                  <c:v>20</c:v>
                </c:pt>
                <c:pt idx="3">
                  <c:v>12.5</c:v>
                </c:pt>
                <c:pt idx="4">
                  <c:v>57.5</c:v>
                </c:pt>
                <c:pt idx="5">
                  <c:v>60</c:v>
                </c:pt>
                <c:pt idx="6">
                  <c:v>0</c:v>
                </c:pt>
                <c:pt idx="7">
                  <c:v>5</c:v>
                </c:pt>
              </c:numCache>
            </c:numRef>
          </c:val>
        </c:ser>
        <c:dLbls>
          <c:showLegendKey val="0"/>
          <c:showVal val="1"/>
          <c:showCatName val="0"/>
          <c:showSerName val="0"/>
          <c:showPercent val="0"/>
          <c:showBubbleSize val="0"/>
        </c:dLbls>
        <c:gapWidth val="75"/>
        <c:axId val="228809728"/>
        <c:axId val="68810944"/>
      </c:barChart>
      <c:catAx>
        <c:axId val="228809728"/>
        <c:scaling>
          <c:orientation val="minMax"/>
        </c:scaling>
        <c:delete val="0"/>
        <c:axPos val="b"/>
        <c:numFmt formatCode="General" sourceLinked="1"/>
        <c:majorTickMark val="none"/>
        <c:minorTickMark val="none"/>
        <c:tickLblPos val="nextTo"/>
        <c:crossAx val="68810944"/>
        <c:crosses val="autoZero"/>
        <c:auto val="1"/>
        <c:lblAlgn val="ctr"/>
        <c:lblOffset val="100"/>
        <c:noMultiLvlLbl val="0"/>
      </c:catAx>
      <c:valAx>
        <c:axId val="68810944"/>
        <c:scaling>
          <c:orientation val="minMax"/>
        </c:scaling>
        <c:delete val="0"/>
        <c:axPos val="l"/>
        <c:numFmt formatCode="General" sourceLinked="1"/>
        <c:majorTickMark val="none"/>
        <c:minorTickMark val="none"/>
        <c:tickLblPos val="nextTo"/>
        <c:crossAx val="228809728"/>
        <c:crosses val="autoZero"/>
        <c:crossBetween val="between"/>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Average %cover</a:t>
            </a:r>
            <a:r>
              <a:rPr lang="en-GB" baseline="0"/>
              <a:t> of sedges in relevés within plots</a:t>
            </a:r>
            <a:endParaRPr lang="en-GB"/>
          </a:p>
        </c:rich>
      </c:tx>
      <c:overlay val="0"/>
    </c:title>
    <c:autoTitleDeleted val="0"/>
    <c:plotArea>
      <c:layout/>
      <c:barChart>
        <c:barDir val="col"/>
        <c:grouping val="clustered"/>
        <c:varyColors val="0"/>
        <c:ser>
          <c:idx val="0"/>
          <c:order val="0"/>
          <c:tx>
            <c:strRef>
              <c:f>'variables v Plots'!$AB$1</c:f>
              <c:strCache>
                <c:ptCount val="1"/>
                <c:pt idx="0">
                  <c:v>NSW</c:v>
                </c:pt>
              </c:strCache>
            </c:strRef>
          </c:tx>
          <c:invertIfNegative val="0"/>
          <c:cat>
            <c:strRef>
              <c:f>'variables v Plots'!$AA$14:$AA$21</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Plots'!$AB$14:$AB$21</c:f>
              <c:numCache>
                <c:formatCode>General</c:formatCode>
                <c:ptCount val="8"/>
                <c:pt idx="0">
                  <c:v>5</c:v>
                </c:pt>
                <c:pt idx="1">
                  <c:v>12.5</c:v>
                </c:pt>
                <c:pt idx="2">
                  <c:v>0</c:v>
                </c:pt>
                <c:pt idx="3">
                  <c:v>1</c:v>
                </c:pt>
                <c:pt idx="4">
                  <c:v>0</c:v>
                </c:pt>
                <c:pt idx="5">
                  <c:v>15</c:v>
                </c:pt>
                <c:pt idx="6">
                  <c:v>5</c:v>
                </c:pt>
                <c:pt idx="7">
                  <c:v>10</c:v>
                </c:pt>
              </c:numCache>
            </c:numRef>
          </c:val>
        </c:ser>
        <c:ser>
          <c:idx val="1"/>
          <c:order val="1"/>
          <c:tx>
            <c:strRef>
              <c:f>'variables v Plots'!$AC$1</c:f>
              <c:strCache>
                <c:ptCount val="1"/>
                <c:pt idx="0">
                  <c:v>SW</c:v>
                </c:pt>
              </c:strCache>
            </c:strRef>
          </c:tx>
          <c:invertIfNegative val="0"/>
          <c:cat>
            <c:strRef>
              <c:f>'variables v Plots'!$AA$14:$AA$21</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Plots'!$AC$14:$AC$21</c:f>
              <c:numCache>
                <c:formatCode>General</c:formatCode>
                <c:ptCount val="8"/>
                <c:pt idx="0">
                  <c:v>5.5</c:v>
                </c:pt>
                <c:pt idx="1">
                  <c:v>30</c:v>
                </c:pt>
                <c:pt idx="2">
                  <c:v>0</c:v>
                </c:pt>
                <c:pt idx="3">
                  <c:v>5</c:v>
                </c:pt>
                <c:pt idx="4">
                  <c:v>40</c:v>
                </c:pt>
                <c:pt idx="5">
                  <c:v>5</c:v>
                </c:pt>
                <c:pt idx="6">
                  <c:v>35</c:v>
                </c:pt>
                <c:pt idx="7">
                  <c:v>0</c:v>
                </c:pt>
              </c:numCache>
            </c:numRef>
          </c:val>
        </c:ser>
        <c:dLbls>
          <c:showLegendKey val="0"/>
          <c:showVal val="1"/>
          <c:showCatName val="0"/>
          <c:showSerName val="0"/>
          <c:showPercent val="0"/>
          <c:showBubbleSize val="0"/>
        </c:dLbls>
        <c:gapWidth val="150"/>
        <c:overlap val="-25"/>
        <c:axId val="230472704"/>
        <c:axId val="119873536"/>
      </c:barChart>
      <c:catAx>
        <c:axId val="230472704"/>
        <c:scaling>
          <c:orientation val="minMax"/>
        </c:scaling>
        <c:delete val="0"/>
        <c:axPos val="b"/>
        <c:numFmt formatCode="General" sourceLinked="1"/>
        <c:majorTickMark val="none"/>
        <c:minorTickMark val="none"/>
        <c:tickLblPos val="nextTo"/>
        <c:crossAx val="119873536"/>
        <c:crosses val="autoZero"/>
        <c:auto val="1"/>
        <c:lblAlgn val="ctr"/>
        <c:lblOffset val="100"/>
        <c:noMultiLvlLbl val="0"/>
      </c:catAx>
      <c:valAx>
        <c:axId val="119873536"/>
        <c:scaling>
          <c:orientation val="minMax"/>
        </c:scaling>
        <c:delete val="1"/>
        <c:axPos val="l"/>
        <c:numFmt formatCode="General" sourceLinked="1"/>
        <c:majorTickMark val="none"/>
        <c:minorTickMark val="none"/>
        <c:tickLblPos val="nextTo"/>
        <c:crossAx val="230472704"/>
        <c:crosses val="autoZero"/>
        <c:crossBetween val="between"/>
      </c:valAx>
    </c:plotArea>
    <c:legend>
      <c:legendPos val="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Average %cover of grass in relevés</a:t>
            </a:r>
            <a:r>
              <a:rPr lang="en-GB" baseline="0"/>
              <a:t> in plots</a:t>
            </a:r>
            <a:endParaRPr lang="en-GB"/>
          </a:p>
        </c:rich>
      </c:tx>
      <c:overlay val="0"/>
    </c:title>
    <c:autoTitleDeleted val="0"/>
    <c:plotArea>
      <c:layout/>
      <c:barChart>
        <c:barDir val="col"/>
        <c:grouping val="clustered"/>
        <c:varyColors val="0"/>
        <c:ser>
          <c:idx val="0"/>
          <c:order val="0"/>
          <c:tx>
            <c:strRef>
              <c:f>'variables v Plots'!$AG$1</c:f>
              <c:strCache>
                <c:ptCount val="1"/>
                <c:pt idx="0">
                  <c:v> NSW</c:v>
                </c:pt>
              </c:strCache>
            </c:strRef>
          </c:tx>
          <c:invertIfNegative val="0"/>
          <c:cat>
            <c:strRef>
              <c:f>'variables v Plots'!$AF$2:$AF$9</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Plots'!$AG$2:$AG$9</c:f>
              <c:numCache>
                <c:formatCode>General</c:formatCode>
                <c:ptCount val="8"/>
                <c:pt idx="0">
                  <c:v>67.5</c:v>
                </c:pt>
                <c:pt idx="1">
                  <c:v>32.5</c:v>
                </c:pt>
                <c:pt idx="2">
                  <c:v>62.5</c:v>
                </c:pt>
                <c:pt idx="3">
                  <c:v>82.5</c:v>
                </c:pt>
                <c:pt idx="4">
                  <c:v>10</c:v>
                </c:pt>
                <c:pt idx="5">
                  <c:v>15</c:v>
                </c:pt>
                <c:pt idx="6">
                  <c:v>30</c:v>
                </c:pt>
                <c:pt idx="7">
                  <c:v>60</c:v>
                </c:pt>
              </c:numCache>
            </c:numRef>
          </c:val>
        </c:ser>
        <c:ser>
          <c:idx val="1"/>
          <c:order val="1"/>
          <c:tx>
            <c:strRef>
              <c:f>'variables v Plots'!$AH$1</c:f>
              <c:strCache>
                <c:ptCount val="1"/>
                <c:pt idx="0">
                  <c:v>  SW</c:v>
                </c:pt>
              </c:strCache>
            </c:strRef>
          </c:tx>
          <c:invertIfNegative val="0"/>
          <c:cat>
            <c:strRef>
              <c:f>'variables v Plots'!$AF$2:$AF$9</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Plots'!$AH$2:$AH$9</c:f>
              <c:numCache>
                <c:formatCode>General</c:formatCode>
                <c:ptCount val="8"/>
                <c:pt idx="0">
                  <c:v>42.5</c:v>
                </c:pt>
                <c:pt idx="1">
                  <c:v>60</c:v>
                </c:pt>
                <c:pt idx="2">
                  <c:v>30</c:v>
                </c:pt>
                <c:pt idx="3">
                  <c:v>100</c:v>
                </c:pt>
                <c:pt idx="4">
                  <c:v>20</c:v>
                </c:pt>
                <c:pt idx="5">
                  <c:v>40</c:v>
                </c:pt>
                <c:pt idx="6">
                  <c:v>15</c:v>
                </c:pt>
                <c:pt idx="7">
                  <c:v>20</c:v>
                </c:pt>
              </c:numCache>
            </c:numRef>
          </c:val>
        </c:ser>
        <c:dLbls>
          <c:showLegendKey val="0"/>
          <c:showVal val="1"/>
          <c:showCatName val="0"/>
          <c:showSerName val="0"/>
          <c:showPercent val="0"/>
          <c:showBubbleSize val="0"/>
        </c:dLbls>
        <c:gapWidth val="150"/>
        <c:overlap val="-25"/>
        <c:axId val="58057728"/>
        <c:axId val="119919104"/>
      </c:barChart>
      <c:catAx>
        <c:axId val="58057728"/>
        <c:scaling>
          <c:orientation val="minMax"/>
        </c:scaling>
        <c:delete val="0"/>
        <c:axPos val="b"/>
        <c:majorTickMark val="none"/>
        <c:minorTickMark val="none"/>
        <c:tickLblPos val="nextTo"/>
        <c:crossAx val="119919104"/>
        <c:crosses val="autoZero"/>
        <c:auto val="1"/>
        <c:lblAlgn val="ctr"/>
        <c:lblOffset val="100"/>
        <c:noMultiLvlLbl val="0"/>
      </c:catAx>
      <c:valAx>
        <c:axId val="119919104"/>
        <c:scaling>
          <c:orientation val="minMax"/>
        </c:scaling>
        <c:delete val="1"/>
        <c:axPos val="l"/>
        <c:numFmt formatCode="General" sourceLinked="1"/>
        <c:majorTickMark val="none"/>
        <c:minorTickMark val="none"/>
        <c:tickLblPos val="nextTo"/>
        <c:crossAx val="58057728"/>
        <c:crosses val="autoZero"/>
        <c:crossBetween val="between"/>
      </c:valAx>
    </c:plotArea>
    <c:legend>
      <c:legendPos val="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Average %broadleaves in relevés in plots</a:t>
            </a:r>
          </a:p>
        </c:rich>
      </c:tx>
      <c:overlay val="0"/>
    </c:title>
    <c:autoTitleDeleted val="0"/>
    <c:plotArea>
      <c:layout/>
      <c:barChart>
        <c:barDir val="col"/>
        <c:grouping val="clustered"/>
        <c:varyColors val="0"/>
        <c:ser>
          <c:idx val="0"/>
          <c:order val="0"/>
          <c:tx>
            <c:strRef>
              <c:f>'variables v Plots'!$AB$26</c:f>
              <c:strCache>
                <c:ptCount val="1"/>
                <c:pt idx="0">
                  <c:v>NSW</c:v>
                </c:pt>
              </c:strCache>
            </c:strRef>
          </c:tx>
          <c:invertIfNegative val="0"/>
          <c:cat>
            <c:strRef>
              <c:f>'variables v Plots'!$AA$27:$AA$34</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Plots'!$AB$27:$AB$34</c:f>
              <c:numCache>
                <c:formatCode>General</c:formatCode>
                <c:ptCount val="8"/>
                <c:pt idx="0">
                  <c:v>55</c:v>
                </c:pt>
                <c:pt idx="1">
                  <c:v>52.5</c:v>
                </c:pt>
                <c:pt idx="2">
                  <c:v>9</c:v>
                </c:pt>
                <c:pt idx="3">
                  <c:v>77.5</c:v>
                </c:pt>
                <c:pt idx="4">
                  <c:v>40</c:v>
                </c:pt>
                <c:pt idx="5">
                  <c:v>50</c:v>
                </c:pt>
                <c:pt idx="6">
                  <c:v>40</c:v>
                </c:pt>
                <c:pt idx="7">
                  <c:v>40</c:v>
                </c:pt>
              </c:numCache>
            </c:numRef>
          </c:val>
        </c:ser>
        <c:ser>
          <c:idx val="1"/>
          <c:order val="1"/>
          <c:tx>
            <c:strRef>
              <c:f>'variables v Plots'!$AC$26</c:f>
              <c:strCache>
                <c:ptCount val="1"/>
                <c:pt idx="0">
                  <c:v>SW</c:v>
                </c:pt>
              </c:strCache>
            </c:strRef>
          </c:tx>
          <c:invertIfNegative val="0"/>
          <c:cat>
            <c:strRef>
              <c:f>'variables v Plots'!$AA$27:$AA$34</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Plots'!$AC$27:$AC$34</c:f>
              <c:numCache>
                <c:formatCode>General</c:formatCode>
                <c:ptCount val="8"/>
                <c:pt idx="0">
                  <c:v>47.5</c:v>
                </c:pt>
                <c:pt idx="1">
                  <c:v>45</c:v>
                </c:pt>
                <c:pt idx="2">
                  <c:v>35</c:v>
                </c:pt>
                <c:pt idx="3">
                  <c:v>47.5</c:v>
                </c:pt>
                <c:pt idx="4">
                  <c:v>60</c:v>
                </c:pt>
                <c:pt idx="5">
                  <c:v>80</c:v>
                </c:pt>
                <c:pt idx="6">
                  <c:v>11</c:v>
                </c:pt>
                <c:pt idx="7">
                  <c:v>12</c:v>
                </c:pt>
              </c:numCache>
            </c:numRef>
          </c:val>
        </c:ser>
        <c:dLbls>
          <c:showLegendKey val="0"/>
          <c:showVal val="1"/>
          <c:showCatName val="0"/>
          <c:showSerName val="0"/>
          <c:showPercent val="0"/>
          <c:showBubbleSize val="0"/>
        </c:dLbls>
        <c:gapWidth val="150"/>
        <c:overlap val="-25"/>
        <c:axId val="58060288"/>
        <c:axId val="68808064"/>
      </c:barChart>
      <c:catAx>
        <c:axId val="58060288"/>
        <c:scaling>
          <c:orientation val="minMax"/>
        </c:scaling>
        <c:delete val="0"/>
        <c:axPos val="b"/>
        <c:majorTickMark val="none"/>
        <c:minorTickMark val="none"/>
        <c:tickLblPos val="nextTo"/>
        <c:crossAx val="68808064"/>
        <c:crosses val="autoZero"/>
        <c:auto val="1"/>
        <c:lblAlgn val="ctr"/>
        <c:lblOffset val="100"/>
        <c:noMultiLvlLbl val="0"/>
      </c:catAx>
      <c:valAx>
        <c:axId val="68808064"/>
        <c:scaling>
          <c:orientation val="minMax"/>
        </c:scaling>
        <c:delete val="1"/>
        <c:axPos val="l"/>
        <c:numFmt formatCode="General" sourceLinked="1"/>
        <c:majorTickMark val="out"/>
        <c:minorTickMark val="none"/>
        <c:tickLblPos val="nextTo"/>
        <c:crossAx val="58060288"/>
        <c:crosses val="autoZero"/>
        <c:crossBetween val="between"/>
      </c:valAx>
    </c:plotArea>
    <c:legend>
      <c:legendPos val="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Average Dry Matter</a:t>
            </a:r>
            <a:r>
              <a:rPr lang="en-GB" baseline="0"/>
              <a:t> Yield (t/ha)</a:t>
            </a:r>
            <a:endParaRPr lang="en-GB"/>
          </a:p>
        </c:rich>
      </c:tx>
      <c:overlay val="0"/>
    </c:title>
    <c:autoTitleDeleted val="0"/>
    <c:plotArea>
      <c:layout/>
      <c:barChart>
        <c:barDir val="col"/>
        <c:grouping val="clustered"/>
        <c:varyColors val="0"/>
        <c:ser>
          <c:idx val="0"/>
          <c:order val="0"/>
          <c:tx>
            <c:strRef>
              <c:f>'variables v Plots'!$X$1</c:f>
              <c:strCache>
                <c:ptCount val="1"/>
                <c:pt idx="0">
                  <c:v>NSW</c:v>
                </c:pt>
              </c:strCache>
            </c:strRef>
          </c:tx>
          <c:spPr>
            <a:solidFill>
              <a:srgbClr val="FFFF66"/>
            </a:solidFill>
            <a:ln>
              <a:solidFill>
                <a:schemeClr val="tx1"/>
              </a:solidFill>
            </a:ln>
          </c:spPr>
          <c:invertIfNegative val="0"/>
          <c:cat>
            <c:strRef>
              <c:f>'variables v Plots'!$W$2:$W$9</c:f>
              <c:strCache>
                <c:ptCount val="8"/>
                <c:pt idx="0">
                  <c:v>Plot 1 CS1</c:v>
                </c:pt>
                <c:pt idx="1">
                  <c:v>Plot 2 PN1</c:v>
                </c:pt>
                <c:pt idx="2">
                  <c:v>Plot 3 PN2</c:v>
                </c:pt>
                <c:pt idx="3">
                  <c:v>Plot7 PM1</c:v>
                </c:pt>
                <c:pt idx="4">
                  <c:v>Plot 8 RC1</c:v>
                </c:pt>
                <c:pt idx="5">
                  <c:v>Plot 9 RC2</c:v>
                </c:pt>
                <c:pt idx="6">
                  <c:v>Plot 10 RC3</c:v>
                </c:pt>
                <c:pt idx="7">
                  <c:v>Plot 11 SOD1</c:v>
                </c:pt>
              </c:strCache>
            </c:strRef>
          </c:cat>
          <c:val>
            <c:numRef>
              <c:f>'variables v Plots'!$X$2:$X$9</c:f>
              <c:numCache>
                <c:formatCode>General</c:formatCode>
                <c:ptCount val="8"/>
                <c:pt idx="0">
                  <c:v>0.95</c:v>
                </c:pt>
                <c:pt idx="1">
                  <c:v>0.8</c:v>
                </c:pt>
                <c:pt idx="2">
                  <c:v>0</c:v>
                </c:pt>
                <c:pt idx="3">
                  <c:v>1.45</c:v>
                </c:pt>
                <c:pt idx="4">
                  <c:v>0.9</c:v>
                </c:pt>
                <c:pt idx="5">
                  <c:v>0.5</c:v>
                </c:pt>
                <c:pt idx="6">
                  <c:v>0.4</c:v>
                </c:pt>
                <c:pt idx="7">
                  <c:v>0</c:v>
                </c:pt>
              </c:numCache>
            </c:numRef>
          </c:val>
        </c:ser>
        <c:ser>
          <c:idx val="2"/>
          <c:order val="1"/>
          <c:tx>
            <c:strRef>
              <c:f>'variables v Plots'!$Y$1</c:f>
              <c:strCache>
                <c:ptCount val="1"/>
                <c:pt idx="0">
                  <c:v>SW</c:v>
                </c:pt>
              </c:strCache>
            </c:strRef>
          </c:tx>
          <c:spPr>
            <a:ln>
              <a:solidFill>
                <a:schemeClr val="tx1"/>
              </a:solidFill>
            </a:ln>
          </c:spPr>
          <c:invertIfNegative val="0"/>
          <c:val>
            <c:numRef>
              <c:f>'variables v Plots'!$Y$2:$Y$9</c:f>
              <c:numCache>
                <c:formatCode>General</c:formatCode>
                <c:ptCount val="8"/>
                <c:pt idx="0">
                  <c:v>0.8</c:v>
                </c:pt>
                <c:pt idx="1">
                  <c:v>1.1000000000000001</c:v>
                </c:pt>
                <c:pt idx="2">
                  <c:v>1.05</c:v>
                </c:pt>
                <c:pt idx="3">
                  <c:v>2.65</c:v>
                </c:pt>
                <c:pt idx="4">
                  <c:v>1.25</c:v>
                </c:pt>
                <c:pt idx="5">
                  <c:v>0.7</c:v>
                </c:pt>
                <c:pt idx="6">
                  <c:v>0.09</c:v>
                </c:pt>
                <c:pt idx="7">
                  <c:v>0</c:v>
                </c:pt>
              </c:numCache>
            </c:numRef>
          </c:val>
        </c:ser>
        <c:dLbls>
          <c:showLegendKey val="0"/>
          <c:showVal val="0"/>
          <c:showCatName val="0"/>
          <c:showSerName val="0"/>
          <c:showPercent val="0"/>
          <c:showBubbleSize val="0"/>
        </c:dLbls>
        <c:gapWidth val="150"/>
        <c:axId val="190882816"/>
        <c:axId val="119921984"/>
      </c:barChart>
      <c:catAx>
        <c:axId val="190882816"/>
        <c:scaling>
          <c:orientation val="minMax"/>
        </c:scaling>
        <c:delete val="0"/>
        <c:axPos val="b"/>
        <c:majorTickMark val="none"/>
        <c:minorTickMark val="none"/>
        <c:tickLblPos val="nextTo"/>
        <c:crossAx val="119921984"/>
        <c:crosses val="autoZero"/>
        <c:auto val="1"/>
        <c:lblAlgn val="ctr"/>
        <c:lblOffset val="100"/>
        <c:noMultiLvlLbl val="0"/>
      </c:catAx>
      <c:valAx>
        <c:axId val="119921984"/>
        <c:scaling>
          <c:orientation val="minMax"/>
        </c:scaling>
        <c:delete val="0"/>
        <c:axPos val="l"/>
        <c:majorGridlines/>
        <c:numFmt formatCode="General" sourceLinked="1"/>
        <c:majorTickMark val="none"/>
        <c:minorTickMark val="none"/>
        <c:tickLblPos val="nextTo"/>
        <c:crossAx val="190882816"/>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92BCB6-E4D7-432B-AC8E-51C35EA06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70</Pages>
  <Words>10795</Words>
  <Characters>61537</Characters>
  <Application>Microsoft Office Word</Application>
  <DocSecurity>0</DocSecurity>
  <Lines>512</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AranLIFE</dc:creator>
  <cp:lastModifiedBy>Amanda Browne</cp:lastModifiedBy>
  <cp:revision>11</cp:revision>
  <cp:lastPrinted>2017-04-06T10:10:00Z</cp:lastPrinted>
  <dcterms:created xsi:type="dcterms:W3CDTF">2017-03-31T14:02:00Z</dcterms:created>
  <dcterms:modified xsi:type="dcterms:W3CDTF">2019-03-12T12:03:00Z</dcterms:modified>
</cp:coreProperties>
</file>